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F3864"/>
      </w:pPr>
      <w:r>
        <w:rPr>
          <w:rFonts w:ascii="Calibri" w:hAnsi="Calibri"/>
          <w:b/>
          <w:color w:val="FFFFFF"/>
          <w:sz w:val="30"/>
        </w:rPr>
        <w:t>Nigeria General Household Survey – Panel (GHS-Panel)</w:t>
        <w:br/>
        <w:t>Source Note and Validation Statement</w:t>
      </w:r>
    </w:p>
    <w:p>
      <w:pPr>
        <w:jc w:val="center"/>
        <w:shd w:val="clear" w:color="auto" w:fill="D6E4F7"/>
      </w:pPr>
      <w:r>
        <w:rPr>
          <w:b w:val="0"/>
          <w:i/>
          <w:color w:val="1F3864"/>
          <w:sz w:val="20"/>
        </w:rPr>
        <w:t>State-level household survey data for all 36 States and the Federal Capital Territory (FCT), Abuja</w:t>
      </w:r>
    </w:p>
    <w:p/>
    <w:p>
      <w:pPr>
        <w:shd w:val="clear" w:color="auto" w:fill="2E75B6"/>
      </w:pPr>
      <w:r>
        <w:rPr>
          <w:b/>
          <w:color w:val="FFFFFF"/>
          <w:sz w:val="24"/>
        </w:rPr>
        <w:t>1.  Official Data Source</w:t>
      </w:r>
    </w:p>
    <w:p>
      <w:r>
        <w:rPr>
          <w:b w:val="0"/>
          <w:i w:val="0"/>
          <w:sz w:val="22"/>
        </w:rPr>
        <w:t xml:space="preserve">The data referenced at the URL </w:t>
      </w:r>
      <w:r>
        <w:rPr>
          <w:b/>
          <w:sz w:val="22"/>
        </w:rPr>
        <w:t>https://nigeria.opendataforafrica.org/eclpnhd/general-household-survey-panel</w:t>
      </w:r>
      <w:r>
        <w:rPr>
          <w:b w:val="0"/>
          <w:i w:val="0"/>
          <w:sz w:val="22"/>
        </w:rPr>
        <w:t xml:space="preserve"> is published by the </w:t>
      </w:r>
      <w:r>
        <w:rPr>
          <w:b/>
          <w:sz w:val="22"/>
        </w:rPr>
        <w:t>Open Data for Africa (ODA) portal</w:t>
      </w:r>
      <w:r>
        <w:rPr>
          <w:b w:val="0"/>
          <w:i w:val="0"/>
          <w:sz w:val="22"/>
        </w:rPr>
        <w:t xml:space="preserve">, which serves as a data aggregation and dissemination platform operated under the African Development Bank Group ecosystem. The underlying dataset is the </w:t>
      </w:r>
      <w:r>
        <w:rPr>
          <w:b/>
          <w:sz w:val="22"/>
        </w:rPr>
        <w:t>Nigeria General Household Survey – Panel (GHS-Panel)</w:t>
      </w:r>
      <w:r>
        <w:rPr>
          <w:b w:val="0"/>
          <w:i w:val="0"/>
          <w:sz w:val="22"/>
        </w:rPr>
        <w:t xml:space="preserve">, produced by the </w:t>
      </w:r>
      <w:r>
        <w:rPr>
          <w:b/>
          <w:sz w:val="22"/>
        </w:rPr>
        <w:t>National Bureau of Statistics (NBS)</w:t>
      </w:r>
      <w:r>
        <w:rPr>
          <w:b w:val="0"/>
          <w:i w:val="0"/>
          <w:sz w:val="22"/>
        </w:rPr>
        <w:t xml:space="preserve"> of the Federal Republic of Nigeria, in collaboration with the </w:t>
      </w:r>
      <w:r>
        <w:rPr>
          <w:b/>
          <w:sz w:val="22"/>
        </w:rPr>
        <w:t>World Bank Living Standards Measurement Study – Integrated Surveys on Agriculture (LSMS-ISA)</w:t>
      </w:r>
      <w:r>
        <w:rPr>
          <w:b w:val="0"/>
          <w:i w:val="0"/>
          <w:sz w:val="22"/>
        </w:rPr>
        <w:t xml:space="preserve"> programme.</w:t>
      </w:r>
    </w:p>
    <w:p/>
    <w:tbl>
      <w:tblPr>
        <w:tblStyle w:val="TableGrid"/>
        <w:tblW w:type="auto" w:w="0"/>
        <w:tblLook w:firstColumn="1" w:firstRow="1" w:lastColumn="0" w:lastRow="0" w:noHBand="0" w:noVBand="1" w:val="04A0"/>
      </w:tblPr>
      <w:tblGrid>
        <w:gridCol w:w="4680"/>
        <w:gridCol w:w="4680"/>
      </w:tblGrid>
      <w:tr>
        <w:tc>
          <w:tcPr>
            <w:tcW w:type="dxa" w:w="4680"/>
            <w:shd w:val="clear" w:color="auto" w:fill="2E75B6"/>
          </w:tcPr>
          <w:p>
            <w:r>
              <w:rPr>
                <w:b/>
                <w:color w:val="FFFFFF"/>
                <w:sz w:val="20"/>
              </w:rPr>
              <w:t>Attribute</w:t>
            </w:r>
          </w:p>
        </w:tc>
        <w:tc>
          <w:tcPr>
            <w:tcW w:type="dxa" w:w="4680"/>
            <w:shd w:val="clear" w:color="auto" w:fill="2E75B6"/>
          </w:tcPr>
          <w:p>
            <w:r>
              <w:rPr>
                <w:b/>
                <w:color w:val="FFFFFF"/>
                <w:sz w:val="20"/>
              </w:rPr>
              <w:t>Detail</w:t>
            </w:r>
          </w:p>
        </w:tc>
      </w:tr>
      <w:tr>
        <w:tc>
          <w:tcPr>
            <w:tcW w:type="dxa" w:w="4680"/>
          </w:tcPr>
          <w:p>
            <w:r>
              <w:rPr>
                <w:sz w:val="20"/>
              </w:rPr>
              <w:t>Primary Producer</w:t>
            </w:r>
          </w:p>
        </w:tc>
        <w:tc>
          <w:tcPr>
            <w:tcW w:type="dxa" w:w="4680"/>
          </w:tcPr>
          <w:p>
            <w:r>
              <w:rPr>
                <w:sz w:val="20"/>
              </w:rPr>
              <w:t>National Bureau of Statistics (NBS), Federal Republic of Nigeria</w:t>
            </w:r>
          </w:p>
        </w:tc>
      </w:tr>
      <w:tr>
        <w:tc>
          <w:tcPr>
            <w:tcW w:type="dxa" w:w="4680"/>
          </w:tcPr>
          <w:p>
            <w:r>
              <w:rPr>
                <w:sz w:val="20"/>
              </w:rPr>
              <w:t>Technical Partner</w:t>
            </w:r>
          </w:p>
        </w:tc>
        <w:tc>
          <w:tcPr>
            <w:tcW w:type="dxa" w:w="4680"/>
          </w:tcPr>
          <w:p>
            <w:r>
              <w:rPr>
                <w:sz w:val="20"/>
              </w:rPr>
              <w:t>World Bank – LSMS-ISA Programme</w:t>
            </w:r>
          </w:p>
        </w:tc>
      </w:tr>
      <w:tr>
        <w:tc>
          <w:tcPr>
            <w:tcW w:type="dxa" w:w="4680"/>
          </w:tcPr>
          <w:p>
            <w:r>
              <w:rPr>
                <w:sz w:val="20"/>
              </w:rPr>
              <w:t>Dissemination Portal</w:t>
            </w:r>
          </w:p>
        </w:tc>
        <w:tc>
          <w:tcPr>
            <w:tcW w:type="dxa" w:w="4680"/>
          </w:tcPr>
          <w:p>
            <w:r>
              <w:rPr>
                <w:sz w:val="20"/>
              </w:rPr>
              <w:t>Open Data for Africa (nigeria.opendataforafrica.org)</w:t>
            </w:r>
          </w:p>
        </w:tc>
      </w:tr>
      <w:tr>
        <w:tc>
          <w:tcPr>
            <w:tcW w:type="dxa" w:w="4680"/>
          </w:tcPr>
          <w:p>
            <w:r>
              <w:rPr>
                <w:sz w:val="20"/>
              </w:rPr>
              <w:t>Dataset Identifier</w:t>
            </w:r>
          </w:p>
        </w:tc>
        <w:tc>
          <w:tcPr>
            <w:tcW w:type="dxa" w:w="4680"/>
          </w:tcPr>
          <w:p>
            <w:r>
              <w:rPr>
                <w:sz w:val="20"/>
              </w:rPr>
              <w:t>GHS-Panel (eclpnhd)</w:t>
            </w:r>
          </w:p>
        </w:tc>
      </w:tr>
      <w:tr>
        <w:tc>
          <w:tcPr>
            <w:tcW w:type="dxa" w:w="4680"/>
          </w:tcPr>
          <w:p>
            <w:r>
              <w:rPr>
                <w:sz w:val="20"/>
              </w:rPr>
              <w:t>Survey Type</w:t>
            </w:r>
          </w:p>
        </w:tc>
        <w:tc>
          <w:tcPr>
            <w:tcW w:type="dxa" w:w="4680"/>
          </w:tcPr>
          <w:p>
            <w:r>
              <w:rPr>
                <w:sz w:val="20"/>
              </w:rPr>
              <w:t>Longitudinal / Panel Household Survey</w:t>
            </w:r>
          </w:p>
        </w:tc>
      </w:tr>
      <w:tr>
        <w:tc>
          <w:tcPr>
            <w:tcW w:type="dxa" w:w="4680"/>
          </w:tcPr>
          <w:p>
            <w:r>
              <w:rPr>
                <w:sz w:val="20"/>
              </w:rPr>
              <w:t>Geographic Coverage</w:t>
            </w:r>
          </w:p>
        </w:tc>
        <w:tc>
          <w:tcPr>
            <w:tcW w:type="dxa" w:w="4680"/>
          </w:tcPr>
          <w:p>
            <w:r>
              <w:rPr>
                <w:sz w:val="20"/>
              </w:rPr>
              <w:t>All 36 States + Federal Capital Territory (FCT), Abuja</w:t>
            </w:r>
          </w:p>
        </w:tc>
      </w:tr>
      <w:tr>
        <w:tc>
          <w:tcPr>
            <w:tcW w:type="dxa" w:w="4680"/>
          </w:tcPr>
          <w:p>
            <w:r>
              <w:rPr>
                <w:sz w:val="20"/>
              </w:rPr>
              <w:t>Urban/Rural Coverage</w:t>
            </w:r>
          </w:p>
        </w:tc>
        <w:tc>
          <w:tcPr>
            <w:tcW w:type="dxa" w:w="4680"/>
          </w:tcPr>
          <w:p>
            <w:r>
              <w:rPr>
                <w:sz w:val="20"/>
              </w:rPr>
              <w:t>Both urban and rural enumeration areas (EAs)</w:t>
            </w:r>
          </w:p>
        </w:tc>
      </w:tr>
    </w:tbl>
    <w:p/>
    <w:p>
      <w:pPr>
        <w:shd w:val="clear" w:color="auto" w:fill="2E75B6"/>
      </w:pPr>
      <w:r>
        <w:rPr>
          <w:b/>
          <w:color w:val="FFFFFF"/>
          <w:sz w:val="24"/>
        </w:rPr>
        <w:t>2.  Data Year(s) Covered</w:t>
      </w:r>
    </w:p>
    <w:p>
      <w:r>
        <w:rPr>
          <w:b w:val="0"/>
          <w:i w:val="0"/>
          <w:sz w:val="22"/>
        </w:rPr>
        <w:t xml:space="preserve">The GHS-Panel dataset available on the Open Data for Africa portal aggregates indicators derived primarily from </w:t>
      </w:r>
      <w:r>
        <w:rPr>
          <w:b/>
          <w:sz w:val="22"/>
        </w:rPr>
        <w:t>Wave 2 (2012/2013) and Wave 3 (2015/2016)</w:t>
      </w:r>
      <w:r>
        <w:rPr>
          <w:b w:val="0"/>
          <w:i w:val="0"/>
          <w:sz w:val="22"/>
        </w:rPr>
        <w:t xml:space="preserve"> of the survey, with earlier baseline data originating from </w:t>
      </w:r>
      <w:r>
        <w:rPr>
          <w:b/>
          <w:sz w:val="22"/>
        </w:rPr>
        <w:t>Wave 1 (2010/2011)</w:t>
      </w:r>
      <w:r>
        <w:rPr>
          <w:b w:val="0"/>
          <w:i w:val="0"/>
          <w:sz w:val="22"/>
        </w:rPr>
        <w:t xml:space="preserve">. A peer-reviewed citation from the portal specifically references data spanning </w:t>
      </w:r>
      <w:r>
        <w:rPr>
          <w:b/>
          <w:sz w:val="22"/>
        </w:rPr>
        <w:t>2013–2015</w:t>
      </w:r>
      <w:r>
        <w:rPr>
          <w:b w:val="0"/>
          <w:i w:val="0"/>
          <w:sz w:val="22"/>
        </w:rPr>
        <w:t>. The full longitudinal programme spans five waves as detailed in the table below.</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Wave</w:t>
            </w:r>
          </w:p>
        </w:tc>
        <w:tc>
          <w:tcPr>
            <w:tcW w:type="dxa" w:w="2340"/>
            <w:shd w:val="clear" w:color="auto" w:fill="2E75B6"/>
          </w:tcPr>
          <w:p>
            <w:r>
              <w:rPr>
                <w:b/>
                <w:color w:val="FFFFFF"/>
                <w:sz w:val="20"/>
              </w:rPr>
              <w:t>Reference Period</w:t>
            </w:r>
          </w:p>
        </w:tc>
        <w:tc>
          <w:tcPr>
            <w:tcW w:type="dxa" w:w="2340"/>
            <w:shd w:val="clear" w:color="auto" w:fill="2E75B6"/>
          </w:tcPr>
          <w:p>
            <w:r>
              <w:rPr>
                <w:b/>
                <w:color w:val="FFFFFF"/>
                <w:sz w:val="20"/>
              </w:rPr>
              <w:t>Post-Planting Visit</w:t>
            </w:r>
          </w:p>
        </w:tc>
        <w:tc>
          <w:tcPr>
            <w:tcW w:type="dxa" w:w="2340"/>
            <w:shd w:val="clear" w:color="auto" w:fill="2E75B6"/>
          </w:tcPr>
          <w:p>
            <w:r>
              <w:rPr>
                <w:b/>
                <w:color w:val="FFFFFF"/>
                <w:sz w:val="20"/>
              </w:rPr>
              <w:t>Post-Harvest Visit</w:t>
            </w:r>
          </w:p>
        </w:tc>
      </w:tr>
      <w:tr>
        <w:tc>
          <w:tcPr>
            <w:tcW w:type="dxa" w:w="2340"/>
            <w:shd w:val="clear" w:color="auto" w:fill="EBF3FB"/>
          </w:tcPr>
          <w:p>
            <w:r>
              <w:rPr>
                <w:sz w:val="20"/>
              </w:rPr>
              <w:t>Wave 1</w:t>
            </w:r>
          </w:p>
        </w:tc>
        <w:tc>
          <w:tcPr>
            <w:tcW w:type="dxa" w:w="2340"/>
            <w:shd w:val="clear" w:color="auto" w:fill="EBF3FB"/>
          </w:tcPr>
          <w:p>
            <w:r>
              <w:rPr>
                <w:sz w:val="20"/>
              </w:rPr>
              <w:t>2010 / 2011</w:t>
            </w:r>
          </w:p>
        </w:tc>
        <w:tc>
          <w:tcPr>
            <w:tcW w:type="dxa" w:w="2340"/>
            <w:shd w:val="clear" w:color="auto" w:fill="EBF3FB"/>
          </w:tcPr>
          <w:p>
            <w:r>
              <w:rPr>
                <w:sz w:val="20"/>
              </w:rPr>
              <w:t>July – September 2010</w:t>
            </w:r>
          </w:p>
        </w:tc>
        <w:tc>
          <w:tcPr>
            <w:tcW w:type="dxa" w:w="2340"/>
            <w:shd w:val="clear" w:color="auto" w:fill="EBF3FB"/>
          </w:tcPr>
          <w:p>
            <w:r>
              <w:rPr>
                <w:sz w:val="20"/>
              </w:rPr>
              <w:t>January – March 2011</w:t>
            </w:r>
          </w:p>
        </w:tc>
      </w:tr>
      <w:tr>
        <w:tc>
          <w:tcPr>
            <w:tcW w:type="dxa" w:w="2340"/>
            <w:shd w:val="clear" w:color="auto" w:fill="D6E4F7"/>
          </w:tcPr>
          <w:p>
            <w:r>
              <w:rPr>
                <w:sz w:val="20"/>
              </w:rPr>
              <w:t>Wave 2</w:t>
            </w:r>
          </w:p>
        </w:tc>
        <w:tc>
          <w:tcPr>
            <w:tcW w:type="dxa" w:w="2340"/>
            <w:shd w:val="clear" w:color="auto" w:fill="D6E4F7"/>
          </w:tcPr>
          <w:p>
            <w:r>
              <w:rPr>
                <w:sz w:val="20"/>
              </w:rPr>
              <w:t>2012 / 2013</w:t>
            </w:r>
          </w:p>
        </w:tc>
        <w:tc>
          <w:tcPr>
            <w:tcW w:type="dxa" w:w="2340"/>
            <w:shd w:val="clear" w:color="auto" w:fill="D6E4F7"/>
          </w:tcPr>
          <w:p>
            <w:r>
              <w:rPr>
                <w:sz w:val="20"/>
              </w:rPr>
              <w:t>July – September 2012</w:t>
            </w:r>
          </w:p>
        </w:tc>
        <w:tc>
          <w:tcPr>
            <w:tcW w:type="dxa" w:w="2340"/>
            <w:shd w:val="clear" w:color="auto" w:fill="D6E4F7"/>
          </w:tcPr>
          <w:p>
            <w:r>
              <w:rPr>
                <w:sz w:val="20"/>
              </w:rPr>
              <w:t>January – March 2013</w:t>
            </w:r>
          </w:p>
        </w:tc>
      </w:tr>
      <w:tr>
        <w:tc>
          <w:tcPr>
            <w:tcW w:type="dxa" w:w="2340"/>
            <w:shd w:val="clear" w:color="auto" w:fill="EBF3FB"/>
          </w:tcPr>
          <w:p>
            <w:r>
              <w:rPr>
                <w:sz w:val="20"/>
              </w:rPr>
              <w:t>Wave 3</w:t>
            </w:r>
          </w:p>
        </w:tc>
        <w:tc>
          <w:tcPr>
            <w:tcW w:type="dxa" w:w="2340"/>
            <w:shd w:val="clear" w:color="auto" w:fill="EBF3FB"/>
          </w:tcPr>
          <w:p>
            <w:r>
              <w:rPr>
                <w:sz w:val="20"/>
              </w:rPr>
              <w:t>2015 / 2016</w:t>
            </w:r>
          </w:p>
        </w:tc>
        <w:tc>
          <w:tcPr>
            <w:tcW w:type="dxa" w:w="2340"/>
            <w:shd w:val="clear" w:color="auto" w:fill="EBF3FB"/>
          </w:tcPr>
          <w:p>
            <w:r>
              <w:rPr>
                <w:sz w:val="20"/>
              </w:rPr>
              <w:t>July – September 2015</w:t>
            </w:r>
          </w:p>
        </w:tc>
        <w:tc>
          <w:tcPr>
            <w:tcW w:type="dxa" w:w="2340"/>
            <w:shd w:val="clear" w:color="auto" w:fill="EBF3FB"/>
          </w:tcPr>
          <w:p>
            <w:r>
              <w:rPr>
                <w:sz w:val="20"/>
              </w:rPr>
              <w:t>January – March 2016</w:t>
            </w:r>
          </w:p>
        </w:tc>
      </w:tr>
      <w:tr>
        <w:tc>
          <w:tcPr>
            <w:tcW w:type="dxa" w:w="2340"/>
            <w:shd w:val="clear" w:color="auto" w:fill="D6E4F7"/>
          </w:tcPr>
          <w:p>
            <w:r>
              <w:rPr>
                <w:sz w:val="20"/>
              </w:rPr>
              <w:t>Wave 4</w:t>
            </w:r>
          </w:p>
        </w:tc>
        <w:tc>
          <w:tcPr>
            <w:tcW w:type="dxa" w:w="2340"/>
            <w:shd w:val="clear" w:color="auto" w:fill="D6E4F7"/>
          </w:tcPr>
          <w:p>
            <w:r>
              <w:rPr>
                <w:sz w:val="20"/>
              </w:rPr>
              <w:t>2018 / 2019</w:t>
            </w:r>
          </w:p>
        </w:tc>
        <w:tc>
          <w:tcPr>
            <w:tcW w:type="dxa" w:w="2340"/>
            <w:shd w:val="clear" w:color="auto" w:fill="D6E4F7"/>
          </w:tcPr>
          <w:p>
            <w:r>
              <w:rPr>
                <w:sz w:val="20"/>
              </w:rPr>
              <w:t>July – September 2018</w:t>
            </w:r>
          </w:p>
        </w:tc>
        <w:tc>
          <w:tcPr>
            <w:tcW w:type="dxa" w:w="2340"/>
            <w:shd w:val="clear" w:color="auto" w:fill="D6E4F7"/>
          </w:tcPr>
          <w:p>
            <w:r>
              <w:rPr>
                <w:sz w:val="20"/>
              </w:rPr>
              <w:t>January – February 2019</w:t>
            </w:r>
          </w:p>
        </w:tc>
      </w:tr>
      <w:tr>
        <w:tc>
          <w:tcPr>
            <w:tcW w:type="dxa" w:w="2340"/>
            <w:shd w:val="clear" w:color="auto" w:fill="EBF3FB"/>
          </w:tcPr>
          <w:p>
            <w:r>
              <w:rPr>
                <w:sz w:val="20"/>
              </w:rPr>
              <w:t>Wave 5</w:t>
            </w:r>
          </w:p>
        </w:tc>
        <w:tc>
          <w:tcPr>
            <w:tcW w:type="dxa" w:w="2340"/>
            <w:shd w:val="clear" w:color="auto" w:fill="EBF3FB"/>
          </w:tcPr>
          <w:p>
            <w:r>
              <w:rPr>
                <w:sz w:val="20"/>
              </w:rPr>
              <w:t>2023 / 2024</w:t>
            </w:r>
          </w:p>
        </w:tc>
        <w:tc>
          <w:tcPr>
            <w:tcW w:type="dxa" w:w="2340"/>
            <w:shd w:val="clear" w:color="auto" w:fill="EBF3FB"/>
          </w:tcPr>
          <w:p>
            <w:r>
              <w:rPr>
                <w:sz w:val="20"/>
              </w:rPr>
              <w:t>July – September 2023</w:t>
            </w:r>
          </w:p>
        </w:tc>
        <w:tc>
          <w:tcPr>
            <w:tcW w:type="dxa" w:w="2340"/>
            <w:shd w:val="clear" w:color="auto" w:fill="EBF3FB"/>
          </w:tcPr>
          <w:p>
            <w:r>
              <w:rPr>
                <w:sz w:val="20"/>
              </w:rPr>
              <w:t>January – March 2024</w:t>
            </w:r>
          </w:p>
        </w:tc>
      </w:tr>
    </w:tbl>
    <w:p>
      <w:r>
        <w:rPr>
          <w:b w:val="0"/>
          <w:i/>
          <w:color w:val="595959"/>
          <w:sz w:val="18"/>
        </w:rPr>
        <w:t>★  The specific data displayed on the Open Data for Africa portal corresponds primarily to Wave 2 (2012/2013) and Wave 3 (2015/2016) indicators; peer-reviewed literature citing this URL identifies the reference period as 2013–2015.</w:t>
      </w:r>
    </w:p>
    <w:p/>
    <w:p>
      <w:pPr>
        <w:shd w:val="clear" w:color="auto" w:fill="2E75B6"/>
      </w:pPr>
      <w:r>
        <w:rPr>
          <w:b/>
          <w:color w:val="FFFFFF"/>
          <w:sz w:val="24"/>
        </w:rPr>
        <w:t>3.  How the Data Is Collected Across All 36 States and FCT</w:t>
      </w:r>
    </w:p>
    <w:p>
      <w:r>
        <w:rPr>
          <w:b/>
          <w:color w:val="1F3864"/>
          <w:sz w:val="22"/>
        </w:rPr>
        <w:t>3.1  Sampling Frame</w:t>
      </w:r>
    </w:p>
    <w:p>
      <w:r>
        <w:t>The survey employs the National Integrated Survey of Households (NISH) 2007/2012 Master Sample Frame (MSF), which is anchored to Nigeria's 2006 Housing and Population Census conducted by the National Population Commission (NpopC). The census enumerated approximately 662,000 Enumeration Areas (EAs) nationwide. From the Master Frame, a systematic sample of 200 EAs was drawn for each state with equal probability, covering all 36 states and the FCT. In the FCT, 40 master sample EAs per LGA were pooled (compared to 30 in other states) to account for its unique administrative structure.</w:t>
      </w:r>
    </w:p>
    <w:p/>
    <w:p>
      <w:r>
        <w:rPr>
          <w:b/>
          <w:color w:val="1F3864"/>
          <w:sz w:val="22"/>
        </w:rPr>
        <w:t>3.2  Two-Stage Stratified Sampling</w:t>
      </w:r>
    </w:p>
    <w:p>
      <w:r>
        <w:t>The GHS-Panel employs a two-stage stratified sample design:</w:t>
        <w:br/>
        <w:br/>
        <w:t xml:space="preserve">  Stage 1 – Primary Sampling Units (PSUs): EAs are selected using Probability Proportional to Size (PPS), based on the total number of EAs and listed households in each state and FCT.</w:t>
        <w:br/>
        <w:br/>
        <w:t xml:space="preserve">  Stage 2 – Household Selection: Within each selected EA, ten (10) households are systematically selected using a calculated Sampling Interval (S.I. = total listed households ÷ 10) and a random start. This process ensures geographic representation within and across states.</w:t>
      </w:r>
    </w:p>
    <w:p/>
    <w:p>
      <w:r>
        <w:rPr>
          <w:b/>
          <w:color w:val="1F3864"/>
          <w:sz w:val="22"/>
        </w:rPr>
        <w:t>3.3  Sample Size and State Coverage</w:t>
      </w:r>
    </w:p>
    <w:p>
      <w:r>
        <w:t>Across all waves, approximately 5,000 households were interviewed, distributed across 500 clusters/EAs. Samples are proportionally allocated across the 36 states and FCT, meaning each state receives a sample size reflecting its share of the national population and EA count. Both urban and rural enumeration areas are canvassed in all states. In Wave 4, an additional 3,551 households were incorporated to replenish the panel. The response rate in Wave 1 was 99.9% including replacements at the household level.</w:t>
      </w:r>
    </w:p>
    <w:p/>
    <w:p>
      <w:r>
        <w:rPr>
          <w:b/>
          <w:color w:val="1F3864"/>
          <w:sz w:val="22"/>
        </w:rPr>
        <w:t>3.4  Survey Instruments and Topics</w:t>
      </w:r>
    </w:p>
    <w:p>
      <w:r>
        <w:t>Each wave uses three core questionnaires administered during two annual visits per household:</w:t>
        <w:br/>
        <w:br/>
        <w:t xml:space="preserve">  (a) Household Questionnaire – covering household roster, education, labour, energy access (including electricity access and type of fuel), housing characteristics, welfare, and consumption.</w:t>
        <w:br/>
        <w:br/>
        <w:t xml:space="preserve">  (b) Agriculture Questionnaire – covering plot-level farming, crop production, inputs, and land use.</w:t>
        <w:br/>
        <w:br/>
        <w:t xml:space="preserve">  (c) Community/Price Questionnaire – capturing community-level market prices and infrastructure data.</w:t>
      </w:r>
    </w:p>
    <w:p/>
    <w:p>
      <w:r>
        <w:rPr>
          <w:b/>
          <w:color w:val="1F3864"/>
          <w:sz w:val="22"/>
        </w:rPr>
        <w:t>3.5  Data Collection Mode</w:t>
      </w:r>
    </w:p>
    <w:p>
      <w:r>
        <w:t>Wave 1 used paper-based questionnaires with concurrent data entry. From Wave 2 onwards, the survey transitioned to Computer Assisted Personal Interview (CAPI), enabling real-time data validation and reducing fieldwork errors. GPS units were also deployed to geo-reference agricultural plots and EAs. Field teams consisted of a supervisor and 2–5 interviewers per EA, and fieldwork was supervised at the zonal and state levels by NBS field coordinators.</w:t>
      </w:r>
    </w:p>
    <w:p/>
    <w:p>
      <w:r>
        <w:rPr>
          <w:b/>
          <w:color w:val="1F3864"/>
          <w:sz w:val="22"/>
        </w:rPr>
        <w:t>3.6  State-Level Data Derivation</w:t>
      </w:r>
    </w:p>
    <w:p>
      <w:r>
        <w:t>Although the GHS-Panel is designed to be representative at the national and geopolitical-zone levels, state-level estimates are derived using Small Area Estimation (SAE) techniques. SAE leverages the integration of panel households into the broader GHS cross-section sample (approximately 22,000 households) to generate statistically reliable state-level poverty and welfare indicators. Population weights (variable: WGHT) are applied to raise sample estimates to national, zonal, and state values. These weights are available in the household dataset and must be applied in all analyses.</w:t>
      </w:r>
    </w:p>
    <w:p/>
    <w:p>
      <w:pPr>
        <w:shd w:val="clear" w:color="auto" w:fill="2E75B6"/>
      </w:pPr>
      <w:r>
        <w:rPr>
          <w:b/>
          <w:color w:val="FFFFFF"/>
          <w:sz w:val="24"/>
        </w:rPr>
        <w:t>4.  State Coverage Confirmation (36 States + FCT)</w:t>
      </w:r>
    </w:p>
    <w:p>
      <w:r>
        <w:rPr>
          <w:b w:val="0"/>
          <w:i w:val="0"/>
          <w:sz w:val="22"/>
        </w:rPr>
        <w:t>The table below confirms that the GHS-Panel dataset provides coverage for all 36 states of Nigeria and the Federal Capital Territory (FCT). State-level data are derived through the proportional EA allocation and, where necessary, SAE techniques applied to the integrated GHS cross-section.</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18"/>
              </w:rPr>
              <w:t>#</w:t>
            </w:r>
          </w:p>
        </w:tc>
        <w:tc>
          <w:tcPr>
            <w:tcW w:type="dxa" w:w="2340"/>
            <w:shd w:val="clear" w:color="auto" w:fill="1F3864"/>
          </w:tcPr>
          <w:p>
            <w:r>
              <w:rPr>
                <w:b/>
                <w:color w:val="FFFFFF"/>
                <w:sz w:val="18"/>
              </w:rPr>
              <w:t>State / Territory</w:t>
            </w:r>
          </w:p>
        </w:tc>
        <w:tc>
          <w:tcPr>
            <w:tcW w:type="dxa" w:w="2340"/>
            <w:shd w:val="clear" w:color="auto" w:fill="1F3864"/>
          </w:tcPr>
          <w:p>
            <w:r>
              <w:rPr>
                <w:b/>
                <w:color w:val="FFFFFF"/>
                <w:sz w:val="18"/>
              </w:rPr>
              <w:t>Geopolitical Zone</w:t>
            </w:r>
          </w:p>
        </w:tc>
        <w:tc>
          <w:tcPr>
            <w:tcW w:type="dxa" w:w="2340"/>
            <w:shd w:val="clear" w:color="auto" w:fill="1F3864"/>
          </w:tcPr>
          <w:p>
            <w:r>
              <w:rPr>
                <w:b/>
                <w:color w:val="FFFFFF"/>
                <w:sz w:val="18"/>
              </w:rPr>
              <w:t>GHS-Panel Coverage</w:t>
            </w:r>
          </w:p>
        </w:tc>
      </w:tr>
      <w:tr>
        <w:tc>
          <w:tcPr>
            <w:tcW w:type="dxa" w:w="2340"/>
            <w:shd w:val="clear" w:color="auto" w:fill="FFFFFF"/>
          </w:tcPr>
          <w:p>
            <w:r>
              <w:rPr>
                <w:sz w:val="18"/>
              </w:rPr>
              <w:t>1</w:t>
            </w:r>
          </w:p>
        </w:tc>
        <w:tc>
          <w:tcPr>
            <w:tcW w:type="dxa" w:w="2340"/>
            <w:shd w:val="clear" w:color="auto" w:fill="FFFFFF"/>
          </w:tcPr>
          <w:p>
            <w:r>
              <w:rPr>
                <w:sz w:val="18"/>
              </w:rPr>
              <w:t>Abia</w:t>
            </w:r>
          </w:p>
        </w:tc>
        <w:tc>
          <w:tcPr>
            <w:tcW w:type="dxa" w:w="2340"/>
            <w:shd w:val="clear" w:color="auto" w:fill="FFFFFF"/>
          </w:tcPr>
          <w:p>
            <w:r>
              <w:rPr>
                <w:sz w:val="18"/>
              </w:rPr>
              <w:t>South East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2</w:t>
            </w:r>
          </w:p>
        </w:tc>
        <w:tc>
          <w:tcPr>
            <w:tcW w:type="dxa" w:w="2340"/>
            <w:shd w:val="clear" w:color="auto" w:fill="EBF3FB"/>
          </w:tcPr>
          <w:p>
            <w:r>
              <w:rPr>
                <w:sz w:val="18"/>
              </w:rPr>
              <w:t>Adamawa</w:t>
            </w:r>
          </w:p>
        </w:tc>
        <w:tc>
          <w:tcPr>
            <w:tcW w:type="dxa" w:w="2340"/>
            <w:shd w:val="clear" w:color="auto" w:fill="EBF3FB"/>
          </w:tcPr>
          <w:p>
            <w:r>
              <w:rPr>
                <w:sz w:val="18"/>
              </w:rPr>
              <w:t>North East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3</w:t>
            </w:r>
          </w:p>
        </w:tc>
        <w:tc>
          <w:tcPr>
            <w:tcW w:type="dxa" w:w="2340"/>
            <w:shd w:val="clear" w:color="auto" w:fill="FFFFFF"/>
          </w:tcPr>
          <w:p>
            <w:r>
              <w:rPr>
                <w:sz w:val="18"/>
              </w:rPr>
              <w:t>Akwa Ibom</w:t>
            </w:r>
          </w:p>
        </w:tc>
        <w:tc>
          <w:tcPr>
            <w:tcW w:type="dxa" w:w="2340"/>
            <w:shd w:val="clear" w:color="auto" w:fill="FFFFFF"/>
          </w:tcPr>
          <w:p>
            <w:r>
              <w:rPr>
                <w:sz w:val="18"/>
              </w:rPr>
              <w:t>South South</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4</w:t>
            </w:r>
          </w:p>
        </w:tc>
        <w:tc>
          <w:tcPr>
            <w:tcW w:type="dxa" w:w="2340"/>
            <w:shd w:val="clear" w:color="auto" w:fill="EBF3FB"/>
          </w:tcPr>
          <w:p>
            <w:r>
              <w:rPr>
                <w:sz w:val="18"/>
              </w:rPr>
              <w:t>Anambra</w:t>
            </w:r>
          </w:p>
        </w:tc>
        <w:tc>
          <w:tcPr>
            <w:tcW w:type="dxa" w:w="2340"/>
            <w:shd w:val="clear" w:color="auto" w:fill="EBF3FB"/>
          </w:tcPr>
          <w:p>
            <w:r>
              <w:rPr>
                <w:sz w:val="18"/>
              </w:rPr>
              <w:t>South East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5</w:t>
            </w:r>
          </w:p>
        </w:tc>
        <w:tc>
          <w:tcPr>
            <w:tcW w:type="dxa" w:w="2340"/>
            <w:shd w:val="clear" w:color="auto" w:fill="FFFFFF"/>
          </w:tcPr>
          <w:p>
            <w:r>
              <w:rPr>
                <w:sz w:val="18"/>
              </w:rPr>
              <w:t>Bauchi</w:t>
            </w:r>
          </w:p>
        </w:tc>
        <w:tc>
          <w:tcPr>
            <w:tcW w:type="dxa" w:w="2340"/>
            <w:shd w:val="clear" w:color="auto" w:fill="FFFFFF"/>
          </w:tcPr>
          <w:p>
            <w:r>
              <w:rPr>
                <w:sz w:val="18"/>
              </w:rPr>
              <w:t>North East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6</w:t>
            </w:r>
          </w:p>
        </w:tc>
        <w:tc>
          <w:tcPr>
            <w:tcW w:type="dxa" w:w="2340"/>
            <w:shd w:val="clear" w:color="auto" w:fill="EBF3FB"/>
          </w:tcPr>
          <w:p>
            <w:r>
              <w:rPr>
                <w:sz w:val="18"/>
              </w:rPr>
              <w:t>Bayelsa</w:t>
            </w:r>
          </w:p>
        </w:tc>
        <w:tc>
          <w:tcPr>
            <w:tcW w:type="dxa" w:w="2340"/>
            <w:shd w:val="clear" w:color="auto" w:fill="EBF3FB"/>
          </w:tcPr>
          <w:p>
            <w:r>
              <w:rPr>
                <w:sz w:val="18"/>
              </w:rPr>
              <w:t>South South</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7</w:t>
            </w:r>
          </w:p>
        </w:tc>
        <w:tc>
          <w:tcPr>
            <w:tcW w:type="dxa" w:w="2340"/>
            <w:shd w:val="clear" w:color="auto" w:fill="FFFFFF"/>
          </w:tcPr>
          <w:p>
            <w:r>
              <w:rPr>
                <w:sz w:val="18"/>
              </w:rPr>
              <w:t>Benue</w:t>
            </w:r>
          </w:p>
        </w:tc>
        <w:tc>
          <w:tcPr>
            <w:tcW w:type="dxa" w:w="2340"/>
            <w:shd w:val="clear" w:color="auto" w:fill="FFFFFF"/>
          </w:tcPr>
          <w:p>
            <w:r>
              <w:rPr>
                <w:sz w:val="18"/>
              </w:rPr>
              <w:t>North Central</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8</w:t>
            </w:r>
          </w:p>
        </w:tc>
        <w:tc>
          <w:tcPr>
            <w:tcW w:type="dxa" w:w="2340"/>
            <w:shd w:val="clear" w:color="auto" w:fill="EBF3FB"/>
          </w:tcPr>
          <w:p>
            <w:r>
              <w:rPr>
                <w:sz w:val="18"/>
              </w:rPr>
              <w:t>Borno</w:t>
            </w:r>
          </w:p>
        </w:tc>
        <w:tc>
          <w:tcPr>
            <w:tcW w:type="dxa" w:w="2340"/>
            <w:shd w:val="clear" w:color="auto" w:fill="EBF3FB"/>
          </w:tcPr>
          <w:p>
            <w:r>
              <w:rPr>
                <w:sz w:val="18"/>
              </w:rPr>
              <w:t>North East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9</w:t>
            </w:r>
          </w:p>
        </w:tc>
        <w:tc>
          <w:tcPr>
            <w:tcW w:type="dxa" w:w="2340"/>
            <w:shd w:val="clear" w:color="auto" w:fill="FFFFFF"/>
          </w:tcPr>
          <w:p>
            <w:r>
              <w:rPr>
                <w:sz w:val="18"/>
              </w:rPr>
              <w:t>Cross River</w:t>
            </w:r>
          </w:p>
        </w:tc>
        <w:tc>
          <w:tcPr>
            <w:tcW w:type="dxa" w:w="2340"/>
            <w:shd w:val="clear" w:color="auto" w:fill="FFFFFF"/>
          </w:tcPr>
          <w:p>
            <w:r>
              <w:rPr>
                <w:sz w:val="18"/>
              </w:rPr>
              <w:t>South South</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10</w:t>
            </w:r>
          </w:p>
        </w:tc>
        <w:tc>
          <w:tcPr>
            <w:tcW w:type="dxa" w:w="2340"/>
            <w:shd w:val="clear" w:color="auto" w:fill="EBF3FB"/>
          </w:tcPr>
          <w:p>
            <w:r>
              <w:rPr>
                <w:sz w:val="18"/>
              </w:rPr>
              <w:t>Delta</w:t>
            </w:r>
          </w:p>
        </w:tc>
        <w:tc>
          <w:tcPr>
            <w:tcW w:type="dxa" w:w="2340"/>
            <w:shd w:val="clear" w:color="auto" w:fill="EBF3FB"/>
          </w:tcPr>
          <w:p>
            <w:r>
              <w:rPr>
                <w:sz w:val="18"/>
              </w:rPr>
              <w:t>South South</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11</w:t>
            </w:r>
          </w:p>
        </w:tc>
        <w:tc>
          <w:tcPr>
            <w:tcW w:type="dxa" w:w="2340"/>
            <w:shd w:val="clear" w:color="auto" w:fill="FFFFFF"/>
          </w:tcPr>
          <w:p>
            <w:r>
              <w:rPr>
                <w:sz w:val="18"/>
              </w:rPr>
              <w:t>Ebonyi</w:t>
            </w:r>
          </w:p>
        </w:tc>
        <w:tc>
          <w:tcPr>
            <w:tcW w:type="dxa" w:w="2340"/>
            <w:shd w:val="clear" w:color="auto" w:fill="FFFFFF"/>
          </w:tcPr>
          <w:p>
            <w:r>
              <w:rPr>
                <w:sz w:val="18"/>
              </w:rPr>
              <w:t>South East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12</w:t>
            </w:r>
          </w:p>
        </w:tc>
        <w:tc>
          <w:tcPr>
            <w:tcW w:type="dxa" w:w="2340"/>
            <w:shd w:val="clear" w:color="auto" w:fill="EBF3FB"/>
          </w:tcPr>
          <w:p>
            <w:r>
              <w:rPr>
                <w:sz w:val="18"/>
              </w:rPr>
              <w:t>Edo</w:t>
            </w:r>
          </w:p>
        </w:tc>
        <w:tc>
          <w:tcPr>
            <w:tcW w:type="dxa" w:w="2340"/>
            <w:shd w:val="clear" w:color="auto" w:fill="EBF3FB"/>
          </w:tcPr>
          <w:p>
            <w:r>
              <w:rPr>
                <w:sz w:val="18"/>
              </w:rPr>
              <w:t>South South</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13</w:t>
            </w:r>
          </w:p>
        </w:tc>
        <w:tc>
          <w:tcPr>
            <w:tcW w:type="dxa" w:w="2340"/>
            <w:shd w:val="clear" w:color="auto" w:fill="FFFFFF"/>
          </w:tcPr>
          <w:p>
            <w:r>
              <w:rPr>
                <w:sz w:val="18"/>
              </w:rPr>
              <w:t>Ekiti</w:t>
            </w:r>
          </w:p>
        </w:tc>
        <w:tc>
          <w:tcPr>
            <w:tcW w:type="dxa" w:w="2340"/>
            <w:shd w:val="clear" w:color="auto" w:fill="FFFFFF"/>
          </w:tcPr>
          <w:p>
            <w:r>
              <w:rPr>
                <w:sz w:val="18"/>
              </w:rPr>
              <w:t>South West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14</w:t>
            </w:r>
          </w:p>
        </w:tc>
        <w:tc>
          <w:tcPr>
            <w:tcW w:type="dxa" w:w="2340"/>
            <w:shd w:val="clear" w:color="auto" w:fill="EBF3FB"/>
          </w:tcPr>
          <w:p>
            <w:r>
              <w:rPr>
                <w:sz w:val="18"/>
              </w:rPr>
              <w:t>Enugu</w:t>
            </w:r>
          </w:p>
        </w:tc>
        <w:tc>
          <w:tcPr>
            <w:tcW w:type="dxa" w:w="2340"/>
            <w:shd w:val="clear" w:color="auto" w:fill="EBF3FB"/>
          </w:tcPr>
          <w:p>
            <w:r>
              <w:rPr>
                <w:sz w:val="18"/>
              </w:rPr>
              <w:t>South East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15</w:t>
            </w:r>
          </w:p>
        </w:tc>
        <w:tc>
          <w:tcPr>
            <w:tcW w:type="dxa" w:w="2340"/>
            <w:shd w:val="clear" w:color="auto" w:fill="FFFFFF"/>
          </w:tcPr>
          <w:p>
            <w:r>
              <w:rPr>
                <w:sz w:val="18"/>
              </w:rPr>
              <w:t>Gombe</w:t>
            </w:r>
          </w:p>
        </w:tc>
        <w:tc>
          <w:tcPr>
            <w:tcW w:type="dxa" w:w="2340"/>
            <w:shd w:val="clear" w:color="auto" w:fill="FFFFFF"/>
          </w:tcPr>
          <w:p>
            <w:r>
              <w:rPr>
                <w:sz w:val="18"/>
              </w:rPr>
              <w:t>North East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16</w:t>
            </w:r>
          </w:p>
        </w:tc>
        <w:tc>
          <w:tcPr>
            <w:tcW w:type="dxa" w:w="2340"/>
            <w:shd w:val="clear" w:color="auto" w:fill="EBF3FB"/>
          </w:tcPr>
          <w:p>
            <w:r>
              <w:rPr>
                <w:sz w:val="18"/>
              </w:rPr>
              <w:t>Imo</w:t>
            </w:r>
          </w:p>
        </w:tc>
        <w:tc>
          <w:tcPr>
            <w:tcW w:type="dxa" w:w="2340"/>
            <w:shd w:val="clear" w:color="auto" w:fill="EBF3FB"/>
          </w:tcPr>
          <w:p>
            <w:r>
              <w:rPr>
                <w:sz w:val="18"/>
              </w:rPr>
              <w:t>South East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17</w:t>
            </w:r>
          </w:p>
        </w:tc>
        <w:tc>
          <w:tcPr>
            <w:tcW w:type="dxa" w:w="2340"/>
            <w:shd w:val="clear" w:color="auto" w:fill="FFFFFF"/>
          </w:tcPr>
          <w:p>
            <w:r>
              <w:rPr>
                <w:sz w:val="18"/>
              </w:rPr>
              <w:t>Jigawa</w:t>
            </w:r>
          </w:p>
        </w:tc>
        <w:tc>
          <w:tcPr>
            <w:tcW w:type="dxa" w:w="2340"/>
            <w:shd w:val="clear" w:color="auto" w:fill="FFFFFF"/>
          </w:tcPr>
          <w:p>
            <w:r>
              <w:rPr>
                <w:sz w:val="18"/>
              </w:rPr>
              <w:t>North West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18</w:t>
            </w:r>
          </w:p>
        </w:tc>
        <w:tc>
          <w:tcPr>
            <w:tcW w:type="dxa" w:w="2340"/>
            <w:shd w:val="clear" w:color="auto" w:fill="EBF3FB"/>
          </w:tcPr>
          <w:p>
            <w:r>
              <w:rPr>
                <w:sz w:val="18"/>
              </w:rPr>
              <w:t>Kaduna</w:t>
            </w:r>
          </w:p>
        </w:tc>
        <w:tc>
          <w:tcPr>
            <w:tcW w:type="dxa" w:w="2340"/>
            <w:shd w:val="clear" w:color="auto" w:fill="EBF3FB"/>
          </w:tcPr>
          <w:p>
            <w:r>
              <w:rPr>
                <w:sz w:val="18"/>
              </w:rPr>
              <w:t>North West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19</w:t>
            </w:r>
          </w:p>
        </w:tc>
        <w:tc>
          <w:tcPr>
            <w:tcW w:type="dxa" w:w="2340"/>
            <w:shd w:val="clear" w:color="auto" w:fill="FFFFFF"/>
          </w:tcPr>
          <w:p>
            <w:r>
              <w:rPr>
                <w:sz w:val="18"/>
              </w:rPr>
              <w:t>Kano</w:t>
            </w:r>
          </w:p>
        </w:tc>
        <w:tc>
          <w:tcPr>
            <w:tcW w:type="dxa" w:w="2340"/>
            <w:shd w:val="clear" w:color="auto" w:fill="FFFFFF"/>
          </w:tcPr>
          <w:p>
            <w:r>
              <w:rPr>
                <w:sz w:val="18"/>
              </w:rPr>
              <w:t>North West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20</w:t>
            </w:r>
          </w:p>
        </w:tc>
        <w:tc>
          <w:tcPr>
            <w:tcW w:type="dxa" w:w="2340"/>
            <w:shd w:val="clear" w:color="auto" w:fill="EBF3FB"/>
          </w:tcPr>
          <w:p>
            <w:r>
              <w:rPr>
                <w:sz w:val="18"/>
              </w:rPr>
              <w:t>Katsina</w:t>
            </w:r>
          </w:p>
        </w:tc>
        <w:tc>
          <w:tcPr>
            <w:tcW w:type="dxa" w:w="2340"/>
            <w:shd w:val="clear" w:color="auto" w:fill="EBF3FB"/>
          </w:tcPr>
          <w:p>
            <w:r>
              <w:rPr>
                <w:sz w:val="18"/>
              </w:rPr>
              <w:t>North West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21</w:t>
            </w:r>
          </w:p>
        </w:tc>
        <w:tc>
          <w:tcPr>
            <w:tcW w:type="dxa" w:w="2340"/>
            <w:shd w:val="clear" w:color="auto" w:fill="FFFFFF"/>
          </w:tcPr>
          <w:p>
            <w:r>
              <w:rPr>
                <w:sz w:val="18"/>
              </w:rPr>
              <w:t>Kebbi</w:t>
            </w:r>
          </w:p>
        </w:tc>
        <w:tc>
          <w:tcPr>
            <w:tcW w:type="dxa" w:w="2340"/>
            <w:shd w:val="clear" w:color="auto" w:fill="FFFFFF"/>
          </w:tcPr>
          <w:p>
            <w:r>
              <w:rPr>
                <w:sz w:val="18"/>
              </w:rPr>
              <w:t>North West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22</w:t>
            </w:r>
          </w:p>
        </w:tc>
        <w:tc>
          <w:tcPr>
            <w:tcW w:type="dxa" w:w="2340"/>
            <w:shd w:val="clear" w:color="auto" w:fill="EBF3FB"/>
          </w:tcPr>
          <w:p>
            <w:r>
              <w:rPr>
                <w:sz w:val="18"/>
              </w:rPr>
              <w:t>Kogi</w:t>
            </w:r>
          </w:p>
        </w:tc>
        <w:tc>
          <w:tcPr>
            <w:tcW w:type="dxa" w:w="2340"/>
            <w:shd w:val="clear" w:color="auto" w:fill="EBF3FB"/>
          </w:tcPr>
          <w:p>
            <w:r>
              <w:rPr>
                <w:sz w:val="18"/>
              </w:rPr>
              <w:t>North Central</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23</w:t>
            </w:r>
          </w:p>
        </w:tc>
        <w:tc>
          <w:tcPr>
            <w:tcW w:type="dxa" w:w="2340"/>
            <w:shd w:val="clear" w:color="auto" w:fill="FFFFFF"/>
          </w:tcPr>
          <w:p>
            <w:r>
              <w:rPr>
                <w:sz w:val="18"/>
              </w:rPr>
              <w:t>Kwara</w:t>
            </w:r>
          </w:p>
        </w:tc>
        <w:tc>
          <w:tcPr>
            <w:tcW w:type="dxa" w:w="2340"/>
            <w:shd w:val="clear" w:color="auto" w:fill="FFFFFF"/>
          </w:tcPr>
          <w:p>
            <w:r>
              <w:rPr>
                <w:sz w:val="18"/>
              </w:rPr>
              <w:t>North Central</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24</w:t>
            </w:r>
          </w:p>
        </w:tc>
        <w:tc>
          <w:tcPr>
            <w:tcW w:type="dxa" w:w="2340"/>
            <w:shd w:val="clear" w:color="auto" w:fill="EBF3FB"/>
          </w:tcPr>
          <w:p>
            <w:r>
              <w:rPr>
                <w:sz w:val="18"/>
              </w:rPr>
              <w:t>Lagos</w:t>
            </w:r>
          </w:p>
        </w:tc>
        <w:tc>
          <w:tcPr>
            <w:tcW w:type="dxa" w:w="2340"/>
            <w:shd w:val="clear" w:color="auto" w:fill="EBF3FB"/>
          </w:tcPr>
          <w:p>
            <w:r>
              <w:rPr>
                <w:sz w:val="18"/>
              </w:rPr>
              <w:t>South West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25</w:t>
            </w:r>
          </w:p>
        </w:tc>
        <w:tc>
          <w:tcPr>
            <w:tcW w:type="dxa" w:w="2340"/>
            <w:shd w:val="clear" w:color="auto" w:fill="FFFFFF"/>
          </w:tcPr>
          <w:p>
            <w:r>
              <w:rPr>
                <w:sz w:val="18"/>
              </w:rPr>
              <w:t>Nasarawa</w:t>
            </w:r>
          </w:p>
        </w:tc>
        <w:tc>
          <w:tcPr>
            <w:tcW w:type="dxa" w:w="2340"/>
            <w:shd w:val="clear" w:color="auto" w:fill="FFFFFF"/>
          </w:tcPr>
          <w:p>
            <w:r>
              <w:rPr>
                <w:sz w:val="18"/>
              </w:rPr>
              <w:t>North Central</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26</w:t>
            </w:r>
          </w:p>
        </w:tc>
        <w:tc>
          <w:tcPr>
            <w:tcW w:type="dxa" w:w="2340"/>
            <w:shd w:val="clear" w:color="auto" w:fill="EBF3FB"/>
          </w:tcPr>
          <w:p>
            <w:r>
              <w:rPr>
                <w:sz w:val="18"/>
              </w:rPr>
              <w:t>Niger</w:t>
            </w:r>
          </w:p>
        </w:tc>
        <w:tc>
          <w:tcPr>
            <w:tcW w:type="dxa" w:w="2340"/>
            <w:shd w:val="clear" w:color="auto" w:fill="EBF3FB"/>
          </w:tcPr>
          <w:p>
            <w:r>
              <w:rPr>
                <w:sz w:val="18"/>
              </w:rPr>
              <w:t>North Central</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27</w:t>
            </w:r>
          </w:p>
        </w:tc>
        <w:tc>
          <w:tcPr>
            <w:tcW w:type="dxa" w:w="2340"/>
            <w:shd w:val="clear" w:color="auto" w:fill="FFFFFF"/>
          </w:tcPr>
          <w:p>
            <w:r>
              <w:rPr>
                <w:sz w:val="18"/>
              </w:rPr>
              <w:t>Ogun</w:t>
            </w:r>
          </w:p>
        </w:tc>
        <w:tc>
          <w:tcPr>
            <w:tcW w:type="dxa" w:w="2340"/>
            <w:shd w:val="clear" w:color="auto" w:fill="FFFFFF"/>
          </w:tcPr>
          <w:p>
            <w:r>
              <w:rPr>
                <w:sz w:val="18"/>
              </w:rPr>
              <w:t>South West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28</w:t>
            </w:r>
          </w:p>
        </w:tc>
        <w:tc>
          <w:tcPr>
            <w:tcW w:type="dxa" w:w="2340"/>
            <w:shd w:val="clear" w:color="auto" w:fill="EBF3FB"/>
          </w:tcPr>
          <w:p>
            <w:r>
              <w:rPr>
                <w:sz w:val="18"/>
              </w:rPr>
              <w:t>Ondo</w:t>
            </w:r>
          </w:p>
        </w:tc>
        <w:tc>
          <w:tcPr>
            <w:tcW w:type="dxa" w:w="2340"/>
            <w:shd w:val="clear" w:color="auto" w:fill="EBF3FB"/>
          </w:tcPr>
          <w:p>
            <w:r>
              <w:rPr>
                <w:sz w:val="18"/>
              </w:rPr>
              <w:t>South West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29</w:t>
            </w:r>
          </w:p>
        </w:tc>
        <w:tc>
          <w:tcPr>
            <w:tcW w:type="dxa" w:w="2340"/>
            <w:shd w:val="clear" w:color="auto" w:fill="FFFFFF"/>
          </w:tcPr>
          <w:p>
            <w:r>
              <w:rPr>
                <w:sz w:val="18"/>
              </w:rPr>
              <w:t>Osun</w:t>
            </w:r>
          </w:p>
        </w:tc>
        <w:tc>
          <w:tcPr>
            <w:tcW w:type="dxa" w:w="2340"/>
            <w:shd w:val="clear" w:color="auto" w:fill="FFFFFF"/>
          </w:tcPr>
          <w:p>
            <w:r>
              <w:rPr>
                <w:sz w:val="18"/>
              </w:rPr>
              <w:t>South West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30</w:t>
            </w:r>
          </w:p>
        </w:tc>
        <w:tc>
          <w:tcPr>
            <w:tcW w:type="dxa" w:w="2340"/>
            <w:shd w:val="clear" w:color="auto" w:fill="EBF3FB"/>
          </w:tcPr>
          <w:p>
            <w:r>
              <w:rPr>
                <w:sz w:val="18"/>
              </w:rPr>
              <w:t>Oyo</w:t>
            </w:r>
          </w:p>
        </w:tc>
        <w:tc>
          <w:tcPr>
            <w:tcW w:type="dxa" w:w="2340"/>
            <w:shd w:val="clear" w:color="auto" w:fill="EBF3FB"/>
          </w:tcPr>
          <w:p>
            <w:r>
              <w:rPr>
                <w:sz w:val="18"/>
              </w:rPr>
              <w:t>South West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31</w:t>
            </w:r>
          </w:p>
        </w:tc>
        <w:tc>
          <w:tcPr>
            <w:tcW w:type="dxa" w:w="2340"/>
            <w:shd w:val="clear" w:color="auto" w:fill="FFFFFF"/>
          </w:tcPr>
          <w:p>
            <w:r>
              <w:rPr>
                <w:sz w:val="18"/>
              </w:rPr>
              <w:t>Plateau</w:t>
            </w:r>
          </w:p>
        </w:tc>
        <w:tc>
          <w:tcPr>
            <w:tcW w:type="dxa" w:w="2340"/>
            <w:shd w:val="clear" w:color="auto" w:fill="FFFFFF"/>
          </w:tcPr>
          <w:p>
            <w:r>
              <w:rPr>
                <w:sz w:val="18"/>
              </w:rPr>
              <w:t>North Central</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32</w:t>
            </w:r>
          </w:p>
        </w:tc>
        <w:tc>
          <w:tcPr>
            <w:tcW w:type="dxa" w:w="2340"/>
            <w:shd w:val="clear" w:color="auto" w:fill="EBF3FB"/>
          </w:tcPr>
          <w:p>
            <w:r>
              <w:rPr>
                <w:sz w:val="18"/>
              </w:rPr>
              <w:t>Rivers</w:t>
            </w:r>
          </w:p>
        </w:tc>
        <w:tc>
          <w:tcPr>
            <w:tcW w:type="dxa" w:w="2340"/>
            <w:shd w:val="clear" w:color="auto" w:fill="EBF3FB"/>
          </w:tcPr>
          <w:p>
            <w:r>
              <w:rPr>
                <w:sz w:val="18"/>
              </w:rPr>
              <w:t>South South</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33</w:t>
            </w:r>
          </w:p>
        </w:tc>
        <w:tc>
          <w:tcPr>
            <w:tcW w:type="dxa" w:w="2340"/>
            <w:shd w:val="clear" w:color="auto" w:fill="FFFFFF"/>
          </w:tcPr>
          <w:p>
            <w:r>
              <w:rPr>
                <w:sz w:val="18"/>
              </w:rPr>
              <w:t>Sokoto</w:t>
            </w:r>
          </w:p>
        </w:tc>
        <w:tc>
          <w:tcPr>
            <w:tcW w:type="dxa" w:w="2340"/>
            <w:shd w:val="clear" w:color="auto" w:fill="FFFFFF"/>
          </w:tcPr>
          <w:p>
            <w:r>
              <w:rPr>
                <w:sz w:val="18"/>
              </w:rPr>
              <w:t>North West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34</w:t>
            </w:r>
          </w:p>
        </w:tc>
        <w:tc>
          <w:tcPr>
            <w:tcW w:type="dxa" w:w="2340"/>
            <w:shd w:val="clear" w:color="auto" w:fill="EBF3FB"/>
          </w:tcPr>
          <w:p>
            <w:r>
              <w:rPr>
                <w:sz w:val="18"/>
              </w:rPr>
              <w:t>Taraba</w:t>
            </w:r>
          </w:p>
        </w:tc>
        <w:tc>
          <w:tcPr>
            <w:tcW w:type="dxa" w:w="2340"/>
            <w:shd w:val="clear" w:color="auto" w:fill="EBF3FB"/>
          </w:tcPr>
          <w:p>
            <w:r>
              <w:rPr>
                <w:sz w:val="18"/>
              </w:rPr>
              <w:t>North East</w:t>
            </w:r>
          </w:p>
        </w:tc>
        <w:tc>
          <w:tcPr>
            <w:tcW w:type="dxa" w:w="2340"/>
            <w:shd w:val="clear" w:color="auto" w:fill="EBF3FB"/>
          </w:tcPr>
          <w:p>
            <w:r>
              <w:rPr>
                <w:sz w:val="18"/>
              </w:rPr>
              <w:t>✔  Covered (proportional EA allocation + SAE)</w:t>
            </w:r>
          </w:p>
        </w:tc>
      </w:tr>
      <w:tr>
        <w:tc>
          <w:tcPr>
            <w:tcW w:type="dxa" w:w="2340"/>
            <w:shd w:val="clear" w:color="auto" w:fill="FFFFFF"/>
          </w:tcPr>
          <w:p>
            <w:r>
              <w:rPr>
                <w:sz w:val="18"/>
              </w:rPr>
              <w:t>35</w:t>
            </w:r>
          </w:p>
        </w:tc>
        <w:tc>
          <w:tcPr>
            <w:tcW w:type="dxa" w:w="2340"/>
            <w:shd w:val="clear" w:color="auto" w:fill="FFFFFF"/>
          </w:tcPr>
          <w:p>
            <w:r>
              <w:rPr>
                <w:sz w:val="18"/>
              </w:rPr>
              <w:t>Yobe</w:t>
            </w:r>
          </w:p>
        </w:tc>
        <w:tc>
          <w:tcPr>
            <w:tcW w:type="dxa" w:w="2340"/>
            <w:shd w:val="clear" w:color="auto" w:fill="FFFFFF"/>
          </w:tcPr>
          <w:p>
            <w:r>
              <w:rPr>
                <w:sz w:val="18"/>
              </w:rPr>
              <w:t>North East</w:t>
            </w:r>
          </w:p>
        </w:tc>
        <w:tc>
          <w:tcPr>
            <w:tcW w:type="dxa" w:w="2340"/>
            <w:shd w:val="clear" w:color="auto" w:fill="FFFFFF"/>
          </w:tcPr>
          <w:p>
            <w:r>
              <w:rPr>
                <w:sz w:val="18"/>
              </w:rPr>
              <w:t>✔  Covered (proportional EA allocation + SAE)</w:t>
            </w:r>
          </w:p>
        </w:tc>
      </w:tr>
      <w:tr>
        <w:tc>
          <w:tcPr>
            <w:tcW w:type="dxa" w:w="2340"/>
            <w:shd w:val="clear" w:color="auto" w:fill="EBF3FB"/>
          </w:tcPr>
          <w:p>
            <w:r>
              <w:rPr>
                <w:sz w:val="18"/>
              </w:rPr>
              <w:t>36</w:t>
            </w:r>
          </w:p>
        </w:tc>
        <w:tc>
          <w:tcPr>
            <w:tcW w:type="dxa" w:w="2340"/>
            <w:shd w:val="clear" w:color="auto" w:fill="EBF3FB"/>
          </w:tcPr>
          <w:p>
            <w:r>
              <w:rPr>
                <w:sz w:val="18"/>
              </w:rPr>
              <w:t>Zamfara</w:t>
            </w:r>
          </w:p>
        </w:tc>
        <w:tc>
          <w:tcPr>
            <w:tcW w:type="dxa" w:w="2340"/>
            <w:shd w:val="clear" w:color="auto" w:fill="EBF3FB"/>
          </w:tcPr>
          <w:p>
            <w:r>
              <w:rPr>
                <w:sz w:val="18"/>
              </w:rPr>
              <w:t>North West</w:t>
            </w:r>
          </w:p>
        </w:tc>
        <w:tc>
          <w:tcPr>
            <w:tcW w:type="dxa" w:w="2340"/>
            <w:shd w:val="clear" w:color="auto" w:fill="EBF3FB"/>
          </w:tcPr>
          <w:p>
            <w:r>
              <w:rPr>
                <w:sz w:val="18"/>
              </w:rPr>
              <w:t>✔  Covered (proportional EA allocation + SAE)</w:t>
            </w:r>
          </w:p>
        </w:tc>
      </w:tr>
      <w:tr>
        <w:tc>
          <w:tcPr>
            <w:tcW w:type="dxa" w:w="2340"/>
            <w:shd w:val="clear" w:color="auto" w:fill="FFFFFF"/>
            <w:shd w:val="clear" w:color="auto" w:fill="FFF2CC"/>
          </w:tcPr>
          <w:p>
            <w:r>
              <w:rPr>
                <w:b/>
                <w:sz w:val="18"/>
              </w:rPr>
              <w:t>37</w:t>
            </w:r>
          </w:p>
        </w:tc>
        <w:tc>
          <w:tcPr>
            <w:tcW w:type="dxa" w:w="2340"/>
            <w:shd w:val="clear" w:color="auto" w:fill="FFFFFF"/>
            <w:shd w:val="clear" w:color="auto" w:fill="FFF2CC"/>
          </w:tcPr>
          <w:p>
            <w:r>
              <w:rPr>
                <w:b/>
                <w:sz w:val="18"/>
              </w:rPr>
              <w:t>FCT – Abuja</w:t>
            </w:r>
          </w:p>
        </w:tc>
        <w:tc>
          <w:tcPr>
            <w:tcW w:type="dxa" w:w="2340"/>
            <w:shd w:val="clear" w:color="auto" w:fill="FFFFFF"/>
            <w:shd w:val="clear" w:color="auto" w:fill="FFF2CC"/>
          </w:tcPr>
          <w:p>
            <w:r>
              <w:rPr>
                <w:b/>
                <w:sz w:val="18"/>
              </w:rPr>
              <w:t>North Central</w:t>
            </w:r>
          </w:p>
        </w:tc>
        <w:tc>
          <w:tcPr>
            <w:tcW w:type="dxa" w:w="2340"/>
            <w:shd w:val="clear" w:color="auto" w:fill="FFFFFF"/>
            <w:shd w:val="clear" w:color="auto" w:fill="FFF2CC"/>
          </w:tcPr>
          <w:p>
            <w:r>
              <w:rPr>
                <w:b/>
                <w:sz w:val="18"/>
              </w:rPr>
              <w:t>✔  Covered (proportional EA allocation + SAE)</w:t>
            </w:r>
          </w:p>
        </w:tc>
      </w:tr>
    </w:tbl>
    <w:p/>
    <w:p>
      <w:pPr>
        <w:shd w:val="clear" w:color="auto" w:fill="2E75B6"/>
      </w:pPr>
      <w:r>
        <w:rPr>
          <w:b/>
          <w:color w:val="FFFFFF"/>
          <w:sz w:val="24"/>
        </w:rPr>
        <w:t>5.  Validation Statement</w:t>
      </w:r>
    </w:p>
    <w:p>
      <w:pPr>
        <w:shd w:val="clear" w:color="auto" w:fill="EBF3FB"/>
      </w:pPr>
      <w:r>
        <w:rPr>
          <w:b w:val="0"/>
          <w:i/>
          <w:sz w:val="22"/>
        </w:rPr>
        <w:t>"The dataset hosted at nigeria.opendataforafrica.org/eclpnhd/general-household-survey-panel is the Nigeria General Household Survey – Panel (GHS-Panel), produced by the National Bureau of Statistics (NBS) of the Federal Republic of Nigeria in collaboration with the World Bank LSMS-ISA programme. The data are derived from a nationally representative, longitudinal panel survey of approximately 5,000 households distributed across all 36 states and the Federal Capital Territory (FCT), Abuja. Households were selected using a two-stage stratified probability design anchored on the 2006 National Population Census and the NISH 2007/2012 Master Sample Frame. The data span multiple survey waves (2010/11, 2012/13, 2015/16, 2018/19, 2023/24); the specific indicators presented on the Open Data for Africa portal are drawn primarily from Wave 2 (2012–2013) and Wave 3 (2015–2016), with the cited reference period in peer-reviewed literature identified as 2013–2015. State-level estimates for all 36 states and the FCT are generated through proportional EA allocation and Small Area Estimation (SAE) techniques applied to the integrated GHS cross-section sample. This dataset should be treated as an official NBS household survey product suitable for research, policy analysis, and energy access modeling at the national and state level."</w:t>
      </w:r>
    </w:p>
    <w:p/>
    <w:p>
      <w:pPr>
        <w:shd w:val="clear" w:color="auto" w:fill="2E75B6"/>
      </w:pPr>
      <w:r>
        <w:rPr>
          <w:b/>
          <w:color w:val="FFFFFF"/>
          <w:sz w:val="24"/>
        </w:rPr>
        <w:t>6.  Recommended Citation</w:t>
      </w:r>
    </w:p>
    <w:p>
      <w:r>
        <w:rPr>
          <w:b w:val="0"/>
          <w:i w:val="0"/>
          <w:sz w:val="22"/>
        </w:rPr>
        <w:t xml:space="preserve">National Bureau of Statistics (NBS), Nigeria &amp; World Bank LSMS-ISA. (2010–2024). </w:t>
      </w:r>
      <w:r>
        <w:rPr>
          <w:b/>
          <w:sz w:val="22"/>
        </w:rPr>
        <w:t>Nigeria General Household Survey – Panel (GHS-Panel), Waves 1–5.</w:t>
      </w:r>
      <w:r>
        <w:rPr>
          <w:b w:val="0"/>
          <w:i w:val="0"/>
          <w:sz w:val="22"/>
        </w:rPr>
        <w:t xml:space="preserve"> Abuja: NBS. Data disseminated via Open Data for Africa: https://nigeria.opendataforafrica.org/eclpnhd/general-household-survey-panel [Data reference period: 2012/2013 – 2015/2016].</w:t>
      </w:r>
    </w:p>
    <w:p/>
    <w:p>
      <w:pPr>
        <w:shd w:val="clear" w:color="auto" w:fill="2E75B6"/>
      </w:pPr>
      <w:r>
        <w:rPr>
          <w:b/>
          <w:color w:val="FFFFFF"/>
          <w:sz w:val="24"/>
        </w:rPr>
        <w:t>7.  Official Source Links</w:t>
      </w:r>
    </w:p>
    <w:p>
      <w:pPr>
        <w:pStyle w:val="ListBullet"/>
      </w:pPr>
      <w:r>
        <w:rPr>
          <w:b/>
          <w:sz w:val="20"/>
        </w:rPr>
        <w:t xml:space="preserve">Open Data for Africa – GHS-Panel portal page: </w:t>
      </w:r>
      <w:r>
        <w:rPr>
          <w:b w:val="0"/>
          <w:i w:val="0"/>
          <w:color w:val="0563C1"/>
          <w:sz w:val="20"/>
        </w:rPr>
        <w:t>https://nigeria.opendataforafrica.org/eclpnhd/general-household-survey-panel</w:t>
      </w:r>
    </w:p>
    <w:p>
      <w:pPr>
        <w:pStyle w:val="ListBullet"/>
      </w:pPr>
      <w:r>
        <w:rPr>
          <w:b/>
          <w:sz w:val="20"/>
        </w:rPr>
        <w:t xml:space="preserve">NBS Nigeria Microdata Catalog (Wave 5, 2023-2024): </w:t>
      </w:r>
      <w:r>
        <w:rPr>
          <w:b w:val="0"/>
          <w:i w:val="0"/>
          <w:color w:val="0563C1"/>
          <w:sz w:val="20"/>
        </w:rPr>
        <w:t>https://microdata.nigerianstat.gov.ng/index.php/catalog/82</w:t>
      </w:r>
    </w:p>
    <w:p>
      <w:pPr>
        <w:pStyle w:val="ListBullet"/>
      </w:pPr>
      <w:r>
        <w:rPr>
          <w:b/>
          <w:sz w:val="20"/>
        </w:rPr>
        <w:t xml:space="preserve">World Bank Microdata Library (Wave 4, 2018-2019): </w:t>
      </w:r>
      <w:r>
        <w:rPr>
          <w:b w:val="0"/>
          <w:i w:val="0"/>
          <w:color w:val="0563C1"/>
          <w:sz w:val="20"/>
        </w:rPr>
        <w:t>https://microdata.worldbank.org/index.php/catalog/3557</w:t>
      </w:r>
    </w:p>
    <w:p>
      <w:pPr>
        <w:pStyle w:val="ListBullet"/>
      </w:pPr>
      <w:r>
        <w:rPr>
          <w:b/>
          <w:sz w:val="20"/>
        </w:rPr>
        <w:t xml:space="preserve">World Bank Microdata Library (Wave 1, 2010-2011): </w:t>
      </w:r>
      <w:r>
        <w:rPr>
          <w:b w:val="0"/>
          <w:i w:val="0"/>
          <w:color w:val="0563C1"/>
          <w:sz w:val="20"/>
        </w:rPr>
        <w:t>https://microdata.worldbank.org/index.php/catalog/1002</w:t>
      </w:r>
    </w:p>
    <w:p>
      <w:pPr>
        <w:pStyle w:val="ListBullet"/>
      </w:pPr>
      <w:r>
        <w:rPr>
          <w:b/>
          <w:sz w:val="20"/>
        </w:rPr>
        <w:t xml:space="preserve">FAO Microdata – GHS-Panel 2018-2019: </w:t>
      </w:r>
      <w:r>
        <w:rPr>
          <w:b w:val="0"/>
          <w:i w:val="0"/>
          <w:color w:val="0563C1"/>
          <w:sz w:val="20"/>
        </w:rPr>
        <w:t>https://microdata.fao.org/index.php/catalog/1374</w:t>
      </w:r>
    </w:p>
    <w:p>
      <w:pPr>
        <w:pStyle w:val="ListBullet"/>
      </w:pPr>
      <w:r>
        <w:rPr>
          <w:b/>
          <w:sz w:val="20"/>
        </w:rPr>
        <w:t xml:space="preserve">NBS Nigeria GHS-Panel Wave 5 Survey Report (PDF): </w:t>
      </w:r>
      <w:r>
        <w:rPr>
          <w:b w:val="0"/>
          <w:i w:val="0"/>
          <w:color w:val="0563C1"/>
          <w:sz w:val="20"/>
        </w:rPr>
        <w:t>https://www.nigerianstat.gov.ng/pdfuploads/GHS-Panel%20Wave%205%20-%20Survey%20Report.pdf</w:t>
      </w:r>
    </w:p>
    <w:p/>
    <w:p>
      <w:pPr>
        <w:shd w:val="clear" w:color="auto" w:fill="F2F2F2"/>
      </w:pPr>
      <w:r>
        <w:rPr>
          <w:b w:val="0"/>
          <w:i/>
          <w:color w:val="595959"/>
          <w:sz w:val="18"/>
        </w:rPr>
        <w:t>Document prepared by: Olaiya Olayinka  |  Date: May 2026  |  Purpose: Data source validation for Nigeria state-level renewable energy market assessment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