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w Cen MT" w:hAnsi="Tw Cen MT" w:eastAsia="Tw Cen MT"/>
          <w:b/>
          <w:color w:val="474A4F"/>
          <w:sz w:val="40"/>
        </w:rPr>
        <w:t>VALIDATION STATEMENT</w:t>
      </w:r>
    </w:p>
    <w:p>
      <w:pPr>
        <w:jc w:val="center"/>
      </w:pPr>
      <w:r>
        <w:rPr>
          <w:rFonts w:ascii="Tw Cen MT" w:hAnsi="Tw Cen MT" w:eastAsia="Tw Cen MT"/>
          <w:color w:val="474A4F"/>
          <w:sz w:val="24"/>
        </w:rPr>
        <w:t>Commercial and Residential Off-taker Market Demand for Electricity across Nigeria’s 36 States and the FCT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000000"/>
                <w:sz w:val="19"/>
              </w:rPr>
              <w:t>Dataset Coverage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36 States of Nigeria and the Federal Capital Territory (FCT)</w:t>
            </w:r>
          </w:p>
        </w:tc>
      </w:tr>
      <w:tr>
        <w:tc>
          <w:tcPr>
            <w:tcW w:type="dxa" w:w="4968"/>
            <w:vAlign w:val="center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000000"/>
                <w:sz w:val="19"/>
              </w:rPr>
              <w:t>Dataset Type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Planning estimate / proxy-based market demand index</w:t>
            </w:r>
          </w:p>
        </w:tc>
      </w:tr>
      <w:tr>
        <w:tc>
          <w:tcPr>
            <w:tcW w:type="dxa" w:w="4968"/>
            <w:vAlign w:val="center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000000"/>
                <w:sz w:val="19"/>
              </w:rPr>
              <w:t>Prepared Date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15 May 2026</w:t>
            </w:r>
          </w:p>
        </w:tc>
      </w:tr>
    </w:tbl>
    <w:p>
      <w:pPr>
        <w:pStyle w:val="Heading1"/>
      </w:pPr>
      <w:r>
        <w:rPr>
          <w:rFonts w:ascii="Tw Cen MT" w:hAnsi="Tw Cen MT" w:eastAsia="Tw Cen MT"/>
        </w:rPr>
        <w:t>1. Purpose of the Validation Statement</w:t>
      </w:r>
    </w:p>
    <w:p>
      <w:r>
        <w:rPr>
          <w:rFonts w:ascii="Tw Cen MT" w:hAnsi="Tw Cen MT" w:eastAsia="Tw Cen MT"/>
        </w:rPr>
        <w:t>This validation statement explains how the data for commercial and residential electricity off-taker market demand was collected, estimated, scored, and checked for reasonableness. The dataset is intended for planning, feasibility screening, renewable energy market assessment, and state-by-state prioritisation. It should not be treated as an official metered electricity demand record because Nigeria does not currently publish one complete official table showing state-level commercial and residential off-taker demand for all 36 states and the FCT.</w:t>
      </w:r>
    </w:p>
    <w:p>
      <w:pPr>
        <w:pStyle w:val="Heading1"/>
      </w:pPr>
      <w:r>
        <w:rPr>
          <w:rFonts w:ascii="Tw Cen MT" w:hAnsi="Tw Cen MT" w:eastAsia="Tw Cen MT"/>
        </w:rPr>
        <w:t>2. Data Collection Approach</w:t>
      </w:r>
    </w:p>
    <w:p>
      <w:r>
        <w:rPr>
          <w:rFonts w:ascii="Tw Cen MT" w:hAnsi="Tw Cen MT" w:eastAsia="Tw Cen MT"/>
        </w:rPr>
        <w:t>The data was developed using a proxy-based data science approach. Publicly available national and state-level indicators were gathered from official and reputable sources, then converted into comparable state-level demand indicators. The method combined direct published data, secondary indicators, and estimated values where official state-level figures were unavailable.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Commercial off-taker demand was estimated using commercial activity strength, state internally generated revenue, industrial presence, urban market size, logistics/trade activity, SME activity, and DisCo service pressure.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Residential off-taker demand was estimated using population size, urbanisation, electricity access, household consumption pressure, residential settlement density, and backup-power dependence.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Electricity-sector context was benchmarked against NERC market reports, including DisCo performance, energy delivered, customer classifications, tariff structure, market collections, and grid reliability issues.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Economic strength was cross-checked using NBS/JTB internally generated revenue data and NBS GDP/economic reports.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Population and demand pressure were treated as key drivers because states with larger urban and household bases usually create stronger residential off-taker demand.</w:t>
      </w:r>
    </w:p>
    <w:p>
      <w:pPr>
        <w:pStyle w:val="Heading1"/>
      </w:pPr>
      <w:r>
        <w:rPr>
          <w:rFonts w:ascii="Tw Cen MT" w:hAnsi="Tw Cen MT" w:eastAsia="Tw Cen MT"/>
        </w:rPr>
        <w:t>3. Key Source Categories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474A4F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FFFFFF"/>
                <w:sz w:val="19"/>
              </w:rPr>
              <w:t>Source Category</w:t>
            </w:r>
          </w:p>
        </w:tc>
        <w:tc>
          <w:tcPr>
            <w:tcW w:type="dxa" w:w="3312"/>
            <w:shd w:fill="474A4F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FFFFFF"/>
                <w:sz w:val="19"/>
              </w:rPr>
              <w:t>What It Was Used For</w:t>
            </w:r>
          </w:p>
        </w:tc>
        <w:tc>
          <w:tcPr>
            <w:tcW w:type="dxa" w:w="3312"/>
            <w:shd w:fill="474A4F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color w:val="FFFFFF"/>
                <w:sz w:val="19"/>
              </w:rPr>
              <w:t>Validation Role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NERC electricity market reports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DisCo performance, energy market structure, customer categories, electricity supply and market context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Used to align demand estimates with official electricity-sector realities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NBS/JTB Internally Generated Revenue data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State-level business and economic strength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Used as a commercial activity proxy for off-taker demand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NBS GDP and economic reports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National and sector economic trends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Used to support the commercial and industrial demand assumptions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Population and urbanisation proxies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Residential demand pressure, household market size and settlement concentration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Used to scale residential off-taker demand by population and urban household base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State commercial/industrial profile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Industrial clusters, trading hubs, business corridors, ports, logistics, agriculture and services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Used to classify likely off-taker types and demand level</w:t>
            </w:r>
          </w:p>
        </w:tc>
      </w:tr>
    </w:tbl>
    <w:p>
      <w:pPr>
        <w:pStyle w:val="Heading1"/>
      </w:pPr>
      <w:r>
        <w:rPr>
          <w:rFonts w:ascii="Tw Cen MT" w:hAnsi="Tw Cen MT" w:eastAsia="Tw Cen MT"/>
        </w:rPr>
        <w:t>4. Scoring and Estimation Methodology</w:t>
      </w:r>
    </w:p>
    <w:p>
      <w:r>
        <w:rPr>
          <w:rFonts w:ascii="Tw Cen MT" w:hAnsi="Tw Cen MT" w:eastAsia="Tw Cen MT"/>
        </w:rPr>
        <w:t>Each state was scored using a 0–100 market demand index. The score was then converted into a demand level such as Very High, High, Medium-High, Medium, Low-Medium, or Low. The estimated electricity demand values were derived by applying the state’s demand score to commercial/residential demand proxies and then converting the result into GWh/year and MW using standard energy-to-load conversion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sz w:val="19"/>
              </w:rPr>
              <w:t>Demand Level</w:t>
            </w:r>
          </w:p>
        </w:tc>
        <w:tc>
          <w:tcPr>
            <w:tcW w:type="dxa" w:w="3312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sz w:val="19"/>
              </w:rPr>
              <w:t>Score Band</w:t>
            </w:r>
          </w:p>
        </w:tc>
        <w:tc>
          <w:tcPr>
            <w:tcW w:type="dxa" w:w="3312"/>
            <w:shd w:fill="FFD300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/>
                <w:sz w:val="19"/>
              </w:rPr>
              <w:t>Interpretation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Very High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80–100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Large commercial base, strong revenue generation, high population/urban density, major industrial or service economy, and strong electricity reliability pressure.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65–79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Strong state economy or large residential base with clear off-taker demand and investment relevance.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Medium-High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50–64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Moderate-to-strong commercial or residential demand with growing electricity need.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35–49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Visible demand, but weaker commercial scale or lower urban concentration.</w:t>
            </w:r>
          </w:p>
        </w:tc>
      </w:tr>
      <w:tr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Low-Medium / Low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Below 35</w:t>
            </w:r>
          </w:p>
        </w:tc>
        <w:tc>
          <w:tcPr>
            <w:tcW w:type="dxa" w:w="3312"/>
          </w:tcPr>
          <w:p>
            <w:r>
              <w:rPr>
                <w:rFonts w:ascii="Tw Cen MT" w:hAnsi="Tw Cen MT" w:eastAsia="Tw Cen MT"/>
                <w:sz w:val="19"/>
              </w:rPr>
            </w:r>
            <w:r>
              <w:rPr>
                <w:rFonts w:ascii="Tw Cen MT" w:hAnsi="Tw Cen MT" w:eastAsia="Tw Cen MT"/>
                <w:b w:val="0"/>
                <w:sz w:val="19"/>
              </w:rPr>
              <w:t>Smaller market size, lower income activity, lower electricity consumption pressure, or limited commercial off-taker concentration.</w:t>
            </w:r>
          </w:p>
        </w:tc>
      </w:tr>
    </w:tbl>
    <w:p>
      <w:pPr>
        <w:pStyle w:val="Heading1"/>
      </w:pPr>
      <w:r>
        <w:rPr>
          <w:rFonts w:ascii="Tw Cen MT" w:hAnsi="Tw Cen MT" w:eastAsia="Tw Cen MT"/>
        </w:rPr>
        <w:t>5. Validation Checks Applied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Ranking check: States known to have stronger commercial economies, such as Lagos, FCT, Rivers, Ogun, Oyo, Delta, Kano, and Anambra, were expected to rank higher than smaller or less commercially active states.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Consistency check: Commercial scores were compared against IGR and business activity proxies, while residential scores were compared against population and urban settlement pressure.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Reasonableness check: Estimated GWh/year and MW values were reviewed to ensure that larger states did not produce unrealistic load estimates relative to smaller states.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Segment check: Off-taker types were matched to each state’s dominant economic profile, such as manufacturing, trade, oil and gas, agriculture, services, public institutions, hospitality, or residential estates.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Limitation check: Any value not directly published by an official source was treated as an estimate and labelled as a planning dataset rather than official metered demand.</w:t>
      </w:r>
    </w:p>
    <w:p>
      <w:pPr>
        <w:pStyle w:val="Heading1"/>
      </w:pPr>
      <w:r>
        <w:rPr>
          <w:rFonts w:ascii="Tw Cen MT" w:hAnsi="Tw Cen MT" w:eastAsia="Tw Cen MT"/>
        </w:rPr>
        <w:t>6. Formal Validation Statement</w:t>
      </w:r>
    </w:p>
    <w:p>
      <w:r>
        <w:rPr>
          <w:rFonts w:ascii="Tw Cen MT" w:hAnsi="Tw Cen MT" w:eastAsia="Tw Cen MT"/>
          <w:b/>
        </w:rPr>
        <w:t xml:space="preserve">Validation Statement: </w:t>
      </w:r>
      <w:r>
        <w:rPr>
          <w:rFonts w:ascii="Tw Cen MT" w:hAnsi="Tw Cen MT" w:eastAsia="Tw Cen MT"/>
        </w:rPr>
        <w:t>The commercial and residential off-taker electricity market demand dataset for Nigeria’s 36 states and the FCT was developed using a structured proxy-based estimation method. Official electricity-sector data from NERC, economic and revenue data from NBS/JTB, national GDP/economic reports, population and urbanisation proxies, and state-level commercial/industrial profiles were reviewed and combined to estimate relative electricity demand across states. The dataset was validated through ranking, consistency, reasonableness, and sector-profile checks. Because complete official state-level off-taker electricity demand data is not publicly available in a single published table, the figures should be interpreted as planning estimates suitable for feasibility studies, market screening, business development, and renewable energy investment prioritisation, not as audited metered consumption figures.</w:t>
      </w:r>
    </w:p>
    <w:p>
      <w:pPr>
        <w:pStyle w:val="Heading1"/>
      </w:pPr>
      <w:r>
        <w:rPr>
          <w:rFonts w:ascii="Tw Cen MT" w:hAnsi="Tw Cen MT" w:eastAsia="Tw Cen MT"/>
        </w:rPr>
        <w:t>7. Data Limitations and Recommended Use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The dataset is suitable for preliminary feasibility studies and state prioritisation, but not for final engineering design or tariff-setting.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Before project financing or procurement decisions, the estimates should be verified with site-specific load audits, customer surveys, DisCo feeder data, smart meter data, or signed off-taker energy consumption records.</w:t>
      </w:r>
    </w:p>
    <w:p>
      <w:pPr>
        <w:ind w:left="360" w:hanging="216"/>
      </w:pPr>
      <w:r>
        <w:rPr>
          <w:rFonts w:ascii="Tw Cen MT" w:hAnsi="Tw Cen MT" w:eastAsia="Tw Cen MT"/>
          <w:b/>
        </w:rPr>
        <w:t xml:space="preserve">• </w:t>
      </w:r>
      <w:r>
        <w:rPr>
          <w:rFonts w:ascii="Tw Cen MT" w:hAnsi="Tw Cen MT" w:eastAsia="Tw Cen MT"/>
        </w:rPr>
        <w:t>Commercial and residential demand can change due to tariff adjustments, economic shocks, migration, insecurity, fuel prices, grid reliability, and new industrial developments.</w:t>
      </w:r>
    </w:p>
    <w:p>
      <w:pPr>
        <w:pStyle w:val="Heading1"/>
      </w:pPr>
      <w:r>
        <w:rPr>
          <w:rFonts w:ascii="Tw Cen MT" w:hAnsi="Tw Cen MT" w:eastAsia="Tw Cen MT"/>
        </w:rPr>
        <w:t>8. Main Data Sources Referenced</w:t>
      </w:r>
    </w:p>
    <w:p>
      <w:pPr>
        <w:ind w:left="360" w:hanging="216"/>
      </w:pPr>
      <w:r>
        <w:rPr>
          <w:rFonts w:ascii="Tw Cen MT" w:hAnsi="Tw Cen MT" w:eastAsia="Tw Cen MT"/>
        </w:rPr>
        <w:t xml:space="preserve">• </w:t>
      </w:r>
      <w:hyperlink r:id="rId10">
        <w:r>
          <w:rPr>
            <w:color w:val="0563C1"/>
            <w:u w:val="single"/>
          </w:rPr>
          <w:t>Nigerian Electricity Regulatory Commission (NERC) – 2024 Q4 Electricity Market Report</w:t>
        </w:r>
      </w:hyperlink>
    </w:p>
    <w:p>
      <w:pPr>
        <w:ind w:left="360" w:hanging="216"/>
      </w:pPr>
      <w:r>
        <w:rPr>
          <w:rFonts w:ascii="Tw Cen MT" w:hAnsi="Tw Cen MT" w:eastAsia="Tw Cen MT"/>
        </w:rPr>
        <w:t xml:space="preserve">• </w:t>
      </w:r>
      <w:hyperlink r:id="rId11">
        <w:r>
          <w:rPr>
            <w:color w:val="0563C1"/>
            <w:u w:val="single"/>
          </w:rPr>
          <w:t>NERC – 2024 Reports Resource Page</w:t>
        </w:r>
      </w:hyperlink>
    </w:p>
    <w:p>
      <w:pPr>
        <w:ind w:left="360" w:hanging="216"/>
      </w:pPr>
      <w:r>
        <w:rPr>
          <w:rFonts w:ascii="Tw Cen MT" w:hAnsi="Tw Cen MT" w:eastAsia="Tw Cen MT"/>
        </w:rPr>
        <w:t xml:space="preserve">• </w:t>
      </w:r>
      <w:hyperlink r:id="rId12">
        <w:r>
          <w:rPr>
            <w:color w:val="0563C1"/>
            <w:u w:val="single"/>
          </w:rPr>
          <w:t>National Bureau of Statistics / Joint Tax Board – Internally Generated Revenue at State Level</w:t>
        </w:r>
      </w:hyperlink>
    </w:p>
    <w:p>
      <w:pPr>
        <w:ind w:left="360" w:hanging="216"/>
      </w:pPr>
      <w:r>
        <w:rPr>
          <w:rFonts w:ascii="Tw Cen MT" w:hAnsi="Tw Cen MT" w:eastAsia="Tw Cen MT"/>
        </w:rPr>
        <w:t xml:space="preserve">• </w:t>
      </w:r>
      <w:hyperlink r:id="rId13">
        <w:r>
          <w:rPr>
            <w:color w:val="0563C1"/>
            <w:u w:val="single"/>
          </w:rPr>
          <w:t>National Bureau of Statistics – Nigerian Gross Domestic Product Reports</w:t>
        </w:r>
      </w:hyperlink>
    </w:p>
    <w:p>
      <w:pPr>
        <w:ind w:left="360" w:hanging="216"/>
      </w:pPr>
      <w:r>
        <w:rPr>
          <w:rFonts w:ascii="Tw Cen MT" w:hAnsi="Tw Cen MT" w:eastAsia="Tw Cen MT"/>
        </w:rPr>
        <w:t xml:space="preserve">• </w:t>
      </w:r>
      <w:hyperlink r:id="rId14">
        <w:r>
          <w:rPr>
            <w:color w:val="0563C1"/>
            <w:u w:val="single"/>
          </w:rPr>
          <w:t>National Population Commission – Publications and Population Projection Resources</w:t>
        </w:r>
      </w:hyperlink>
    </w:p>
    <w:sectPr w:rsidR="00FC693F" w:rsidRPr="0006063C" w:rsidSect="00034616">
      <w:headerReference w:type="default" r:id="rId9"/>
      <w:footerReference w:type="default" r:id="rId1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w Cen MT" w:hAnsi="Tw Cen MT" w:eastAsia="Tw Cen MT"/>
        <w:color w:val="646464"/>
        <w:sz w:val="16"/>
      </w:rPr>
      <w:t>Prepared for renewable energy market demand validation | Nigeria state-level off-taker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w Cen MT" w:hAnsi="Tw Cen MT" w:eastAsia="Tw Cen MT"/>
        <w:color w:val="505050"/>
        <w:sz w:val="18"/>
      </w:rPr>
      <w:t>Validation Statement | Nigeria Electricity Off-taker Market Demand Dataset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w Cen MT" w:hAnsi="Tw Cen MT" w:eastAsia="Tw Cen M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w Cen MT" w:hAnsi="Tw Cen MT" w:eastAsia="Tw Cen MT"/>
      <w:b/>
      <w:bCs/>
      <w:color w:val="474A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w Cen MT" w:hAnsi="Tw Cen MT" w:eastAsia="Tw Cen MT"/>
      <w:b/>
      <w:bCs/>
      <w:color w:val="474A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w Cen MT" w:hAnsi="Tw Cen MT" w:eastAsia="Tw Cen MT"/>
      <w:b/>
      <w:color w:val="474A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nerc.gov.ng/wp-content/uploads/2025/03/2024_Q4-Report.pdf" TargetMode="External"/><Relationship Id="rId11" Type="http://schemas.openxmlformats.org/officeDocument/2006/relationships/hyperlink" Target="https://nerc.gov.ng/resource-category/2024/" TargetMode="External"/><Relationship Id="rId12" Type="http://schemas.openxmlformats.org/officeDocument/2006/relationships/hyperlink" Target="https://www.nigerianstat.gov.ng/elibrary/read/497" TargetMode="External"/><Relationship Id="rId13" Type="http://schemas.openxmlformats.org/officeDocument/2006/relationships/hyperlink" Target="https://microdata.nigerianstat.gov.ng/index.php/catalog/147" TargetMode="External"/><Relationship Id="rId14" Type="http://schemas.openxmlformats.org/officeDocument/2006/relationships/hyperlink" Target="https://nationalpopulation.gov.ng/publications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