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Revised Absolute Poverty (2004 and 2010) - Nigeria</w:t>
        <w:br/>
        <w:t>Source Note and Validation</w:t>
      </w:r>
    </w:p>
    <w:p>
      <w:pPr>
        <w:jc w:val="center"/>
      </w:pPr>
      <w:r>
        <w:rPr>
          <w:i/>
          <w:sz w:val="21"/>
        </w:rPr>
        <w:t>Nigeria state-level absolute poverty rates derived from the National Bureau of Statistics</w:t>
        <w:br/>
        <w:t>Harmonized Nigeria Living Standard Survey (HNLSS) 2009/2010 and NLSS 2003/2004</w:t>
      </w:r>
    </w:p>
    <w:p/>
    <w:p>
      <w:pPr>
        <w:jc w:val="left"/>
      </w:pPr>
      <w:r>
        <w:rPr>
          <w:b/>
          <w:color w:val="000080"/>
          <w:sz w:val="24"/>
        </w:rPr>
        <w:t>1. Official Source Links</w:t>
      </w:r>
    </w:p>
    <w:p>
      <w:pPr>
        <w:spacing w:after="120"/>
      </w:pPr>
      <w:r>
        <w:rPr>
          <w:b w:val="0"/>
          <w:i w:val="0"/>
          <w:sz w:val="22"/>
        </w:rPr>
        <w:t>The dataset published on the OpenDataForAfrica portal (https://nigeria.opendataforafrica.org/lcpafse/revised-absolute-poverty-2004-and-2010-nigeria) draws directly from the following primary official sources:</w:t>
      </w:r>
    </w:p>
    <w:p>
      <w:pPr>
        <w:pStyle w:val="ListBullet"/>
      </w:pPr>
      <w:r>
        <w:rPr>
          <w:sz w:val="22"/>
        </w:rPr>
        <w:t>National Bureau of Statistics (NBS) - Abridged Report: 'National Poverty Rates for Nigeria: 2003-04 (Revised) and 2009-10' (Published by NBS; available at: https://www.nigerianstat.gov.ng/download/544 and mirrored at Africa Check).</w:t>
      </w:r>
    </w:p>
    <w:p>
      <w:pPr>
        <w:pStyle w:val="ListBullet"/>
      </w:pPr>
      <w:r>
        <w:rPr>
          <w:sz w:val="22"/>
        </w:rPr>
        <w:t>National Bureau of Statistics (NBS) - Nigeria Poverty Profile 2010 Report (Released January 2012; available at: https://www.nigerianstat.gov.ng/pdfuploads/Nigeria%20Poverty%20Profile%202010.pdf).</w:t>
      </w:r>
    </w:p>
    <w:p>
      <w:pPr>
        <w:pStyle w:val="ListBullet"/>
      </w:pPr>
      <w:r>
        <w:rPr>
          <w:sz w:val="22"/>
        </w:rPr>
        <w:t>Harmonized Nigeria Living Standard Survey (HNLSS) 2009/2010 - the underlying household survey from which all poverty estimates are derived (conducted by NBS with World Bank, DFID/UK, and UNICEF support).</w:t>
      </w:r>
    </w:p>
    <w:p>
      <w:pPr>
        <w:pStyle w:val="ListBullet"/>
      </w:pPr>
      <w:r>
        <w:rPr>
          <w:sz w:val="22"/>
        </w:rPr>
        <w:t>Nigeria Living Standard Survey (NLSS) 2003/2004 - the earlier survey providing the 2003-04 (revised) reference-year data.</w:t>
      </w:r>
    </w:p>
    <w:p/>
    <w:p>
      <w:pPr>
        <w:jc w:val="left"/>
      </w:pPr>
      <w:r>
        <w:rPr>
          <w:b/>
          <w:color w:val="000080"/>
          <w:sz w:val="24"/>
        </w:rPr>
        <w:t>2. What Year Is This Data From?</w:t>
      </w:r>
    </w:p>
    <w:p>
      <w:pPr>
        <w:spacing w:after="120"/>
      </w:pPr>
      <w:r>
        <w:rPr>
          <w:b w:val="0"/>
          <w:i w:val="0"/>
          <w:sz w:val="22"/>
        </w:rPr>
        <w:t>The dataset contains two reference years of absolute poverty measurement for all 36 states and the FCT:</w:t>
      </w:r>
    </w:p>
    <w:p>
      <w:pPr>
        <w:pStyle w:val="ListBullet"/>
      </w:pPr>
      <w:r>
        <w:rPr>
          <w:sz w:val="22"/>
        </w:rPr>
        <w:t>2003-2004 (Revised): Drawn from the Nigeria Living Standard Survey (NLSS) conducted in 2003/2004. The original absolute poverty figures were later revised using improved methodologies (see Section 5) and re-released alongside the 2009/10 results. The revised 2003-04 poverty line was set at NGN 28,836.70 per person per year.</w:t>
      </w:r>
    </w:p>
    <w:p>
      <w:pPr>
        <w:pStyle w:val="ListBullet"/>
      </w:pPr>
      <w:r>
        <w:rPr>
          <w:sz w:val="22"/>
        </w:rPr>
        <w:t>2009-2010: Drawn from the Harmonized Nigeria Living Standard Survey (HNLSS) conducted between 2009 and 2010. The 2009/10 poverty line was set at NGN 55,235.20 per person per year (adjusted for inflation using 2003-04 as reference). The NBS officially published the results in January 2012 as the Nigeria Poverty Profile 2010 Report.</w:t>
      </w:r>
    </w:p>
    <w:p/>
    <w:p>
      <w:pPr>
        <w:jc w:val="left"/>
      </w:pPr>
      <w:r>
        <w:rPr>
          <w:b/>
          <w:color w:val="000080"/>
          <w:sz w:val="24"/>
        </w:rPr>
        <w:t>3. How the Data Was Collected</w:t>
      </w:r>
    </w:p>
    <w:p>
      <w:pPr>
        <w:spacing w:after="120"/>
      </w:pPr>
      <w:r>
        <w:rPr>
          <w:b w:val="0"/>
          <w:i w:val="0"/>
          <w:sz w:val="22"/>
        </w:rPr>
        <w:t>The underlying data for both reference years were generated through large-scale household surveys conducted by the NBS:</w:t>
      </w:r>
    </w:p>
    <w:p>
      <w:pPr>
        <w:pStyle w:val="ListBullet"/>
      </w:pPr>
      <w:r>
        <w:rPr>
          <w:sz w:val="22"/>
        </w:rPr>
        <w:t>Survey instrument: The HNLSS 2009/2010 was an enlarged follow-up to the NLSS 2003/2004. It collected data on household consumption/expenditure, income, health, education, employment, agriculture, housing, and social capital.</w:t>
      </w:r>
    </w:p>
    <w:p>
      <w:pPr>
        <w:pStyle w:val="ListBullet"/>
      </w:pPr>
      <w:r>
        <w:rPr>
          <w:sz w:val="22"/>
        </w:rPr>
        <w:t>Geographic coverage: The survey covered all 36 States of the Federation and the Federal Capital Territory (FCT), investigating both urban and rural areas across all 774 Local Government Areas (LGAs).</w:t>
      </w:r>
    </w:p>
    <w:p>
      <w:pPr>
        <w:pStyle w:val="ListBullet"/>
      </w:pPr>
      <w:r>
        <w:rPr>
          <w:sz w:val="22"/>
        </w:rPr>
        <w:t>Sample size: A total of 77,400 households were sampled for the welfare component (approximately 100 households per LGA), while 38,700 households were covered in the consumption/expenditure component (50 households per LGA).</w:t>
      </w:r>
    </w:p>
    <w:p>
      <w:pPr>
        <w:pStyle w:val="ListBullet"/>
      </w:pPr>
      <w:r>
        <w:rPr>
          <w:sz w:val="22"/>
        </w:rPr>
        <w:t>Sample design: A two-stage sampling design was used. Stage 1 selected Enumeration Areas (EAs) as Primary Sampling Units (PSUs). Stage 2 selected households within each EA. The sampling frame was based on EAs demarcated by the National Population Commission (NPopC) for the 2006 Housing and Population Census.</w:t>
      </w:r>
    </w:p>
    <w:p>
      <w:pPr>
        <w:pStyle w:val="ListBullet"/>
      </w:pPr>
      <w:r>
        <w:rPr>
          <w:sz w:val="22"/>
        </w:rPr>
        <w:t>State representativeness: The sample design was structured to produce statistically reliable estimates at national, zonal, and state levels.</w:t>
      </w:r>
    </w:p>
    <w:p>
      <w:pPr>
        <w:pStyle w:val="ListBullet"/>
      </w:pPr>
      <w:r>
        <w:rPr>
          <w:sz w:val="22"/>
        </w:rPr>
        <w:t>Funding and implementation: NBS provided professional leadership; the World Bank and DFID (UK) provided financial and technical support.</w:t>
      </w:r>
    </w:p>
    <w:p/>
    <w:p>
      <w:pPr>
        <w:jc w:val="left"/>
      </w:pPr>
      <w:r>
        <w:rPr>
          <w:b/>
          <w:color w:val="000080"/>
          <w:sz w:val="24"/>
        </w:rPr>
        <w:t>4. How the Absolute Poverty Rates Were Calculated</w:t>
      </w:r>
    </w:p>
    <w:p>
      <w:pPr>
        <w:spacing w:after="120"/>
      </w:pPr>
      <w:r>
        <w:rPr>
          <w:b w:val="0"/>
          <w:i w:val="0"/>
          <w:sz w:val="22"/>
        </w:rPr>
        <w:t>The NBS employed the Cost of Basic Needs (Food Energy Intake) approach to measure Absolute Poverty, using three steps:</w:t>
      </w:r>
    </w:p>
    <w:p>
      <w:pPr>
        <w:pStyle w:val="ListBullet"/>
      </w:pPr>
      <w:r>
        <w:rPr>
          <w:sz w:val="22"/>
        </w:rPr>
        <w:t>Step 1 - Food poverty line: Identify the food basket of the poorest 40% of the population. Compute the food expenditure that provides 3,000 calories per person per day based on the national food basket. This yields the Food Poverty Line (NGN 39,759.49 for 2009/10).</w:t>
      </w:r>
    </w:p>
    <w:p>
      <w:pPr>
        <w:pStyle w:val="ListBullet"/>
      </w:pPr>
      <w:r>
        <w:rPr>
          <w:sz w:val="22"/>
        </w:rPr>
        <w:t>Step 2 - Non-food component: Add the average non-food expenditure of approximately +/-100 households around the core poverty line to the food poverty line.</w:t>
      </w:r>
    </w:p>
    <w:p>
      <w:pPr>
        <w:pStyle w:val="ListBullet"/>
      </w:pPr>
      <w:r>
        <w:rPr>
          <w:sz w:val="22"/>
        </w:rPr>
        <w:t>Step 3 - Absolute poverty line: The sum of food and non-food components produces the Absolute Poverty Line (NGN 54,401.16 for 2009/10; NGN 28,836.70 for 2003/04). Any individual whose per capita expenditure falls below this line is classified as absolutely poor.</w:t>
      </w:r>
    </w:p>
    <w:p>
      <w:pPr>
        <w:pStyle w:val="ListBullet"/>
      </w:pPr>
      <w:r>
        <w:rPr>
          <w:sz w:val="22"/>
        </w:rPr>
        <w:t>Per capita approach: Total household expenditure was divided by household size. This approach was adopted for consistency with the 2003/04 methodology and to avoid under-estimating the poor population relative to adult-equivalent scales.</w:t>
      </w:r>
    </w:p>
    <w:p>
      <w:pPr>
        <w:pStyle w:val="ListBullet"/>
      </w:pPr>
      <w:r>
        <w:rPr>
          <w:sz w:val="22"/>
        </w:rPr>
        <w:t>Price deflation: Expenditure data were deflated using a Consumer Price Index (CPI)-based price deflator to correct for seasonal and regional price variations. The 2009/10 poverty line was inflation-adjusted using 2003/04 as the reference base.</w:t>
      </w:r>
    </w:p>
    <w:p/>
    <w:p>
      <w:pPr>
        <w:jc w:val="left"/>
      </w:pPr>
      <w:r>
        <w:rPr>
          <w:b/>
          <w:color w:val="000080"/>
          <w:sz w:val="24"/>
        </w:rPr>
        <w:t>5. Why the 2003-04 Data Was Revised</w:t>
      </w:r>
    </w:p>
    <w:p>
      <w:pPr>
        <w:spacing w:after="120"/>
      </w:pPr>
      <w:r>
        <w:rPr>
          <w:b w:val="0"/>
          <w:i w:val="0"/>
          <w:sz w:val="22"/>
        </w:rPr>
        <w:t>When the 2009/10 results were published, the NBS simultaneously released revised estimates for 2003-04. The revisions addressed methodological limitations in the original computation and incorporated:</w:t>
      </w:r>
    </w:p>
    <w:p>
      <w:pPr>
        <w:pStyle w:val="ListBullet"/>
      </w:pPr>
      <w:r>
        <w:rPr>
          <w:sz w:val="22"/>
        </w:rPr>
        <w:t>Improved data editing techniques applied to the raw survey microdata</w:t>
      </w:r>
    </w:p>
    <w:p>
      <w:pPr>
        <w:pStyle w:val="ListBullet"/>
      </w:pPr>
      <w:r>
        <w:rPr>
          <w:sz w:val="22"/>
        </w:rPr>
        <w:t>An increased number of rent models used in non-food expenditure estimation</w:t>
      </w:r>
    </w:p>
    <w:p>
      <w:pPr>
        <w:pStyle w:val="ListBullet"/>
      </w:pPr>
      <w:r>
        <w:rPr>
          <w:sz w:val="22"/>
        </w:rPr>
        <w:t>A more robust food basket incorporating a greater number of food items in the food poverty line</w:t>
      </w:r>
    </w:p>
    <w:p>
      <w:pPr>
        <w:pStyle w:val="ListBullet"/>
      </w:pPr>
      <w:r>
        <w:rPr>
          <w:sz w:val="22"/>
        </w:rPr>
        <w:t>Better and more granular price data for regional price deflation</w:t>
      </w:r>
    </w:p>
    <w:p>
      <w:pPr>
        <w:pStyle w:val="ListBullet"/>
      </w:pPr>
      <w:r>
        <w:rPr>
          <w:sz w:val="22"/>
        </w:rPr>
        <w:t>Application of an improved price deflator methodology</w:t>
      </w:r>
    </w:p>
    <w:p>
      <w:pPr>
        <w:spacing w:after="80"/>
      </w:pPr>
      <w:r>
        <w:rPr>
          <w:b w:val="0"/>
          <w:i w:val="0"/>
          <w:sz w:val="22"/>
        </w:rPr>
        <w:t>To maintain a consistent trend between the two years, all methodological improvements were applied retroactively to the 2003/04 data. This produces the 'revised' 2003-04 estimates that appear in the dataset alongside the 2009/10 figures.</w:t>
      </w:r>
    </w:p>
    <w:p/>
    <w:p>
      <w:pPr>
        <w:jc w:val="left"/>
      </w:pPr>
      <w:r>
        <w:rPr>
          <w:b/>
          <w:color w:val="000080"/>
          <w:sz w:val="24"/>
        </w:rPr>
        <w:t>6. State-Level Absolute Poverty Headcount Rates (Per Capita Approach)</w:t>
      </w:r>
    </w:p>
    <w:p>
      <w:pPr>
        <w:spacing w:after="120"/>
      </w:pPr>
      <w:r>
        <w:rPr>
          <w:b w:val="0"/>
          <w:i w:val="0"/>
          <w:sz w:val="22"/>
        </w:rPr>
        <w:t>The table below presents the absolute poverty headcount rates (%) for all 36 states and FCT for the two reference years, as published in the NBS report 'National Poverty Rates for Nigeria: 2003-04 (Revised) and 2009-10' and the Nigeria Poverty Profile 2010 Report (January 2012).</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BDD7EE"/>
          </w:tcPr>
          <w:p>
            <w:pPr>
              <w:jc w:val="center"/>
            </w:pPr>
            <w:r>
              <w:rPr>
                <w:b/>
                <w:sz w:val="20"/>
              </w:rPr>
              <w:t>State / Territory</w:t>
            </w:r>
          </w:p>
        </w:tc>
        <w:tc>
          <w:tcPr>
            <w:tcW w:type="dxa" w:w="3118"/>
            <w:shd w:val="clear" w:color="auto" w:fill="BDD7EE"/>
          </w:tcPr>
          <w:p>
            <w:pPr>
              <w:jc w:val="center"/>
            </w:pPr>
            <w:r>
              <w:rPr>
                <w:b/>
                <w:sz w:val="20"/>
              </w:rPr>
              <w:t>Absolute Poverty 2003-04 Revised (%)</w:t>
            </w:r>
          </w:p>
        </w:tc>
        <w:tc>
          <w:tcPr>
            <w:tcW w:type="dxa" w:w="3118"/>
            <w:shd w:val="clear" w:color="auto" w:fill="BDD7EE"/>
          </w:tcPr>
          <w:p>
            <w:pPr>
              <w:jc w:val="center"/>
            </w:pPr>
            <w:r>
              <w:rPr>
                <w:b/>
                <w:sz w:val="20"/>
              </w:rPr>
              <w:t>Absolute Poverty 2009-10 (%)</w:t>
            </w:r>
          </w:p>
        </w:tc>
      </w:tr>
      <w:tr>
        <w:tc>
          <w:tcPr>
            <w:tcW w:type="dxa" w:w="3118"/>
          </w:tcPr>
          <w:p>
            <w:pPr>
              <w:jc w:val="left"/>
            </w:pPr>
            <w:r>
              <w:rPr>
                <w:sz w:val="20"/>
              </w:rPr>
              <w:t>Abia</w:t>
            </w:r>
          </w:p>
        </w:tc>
        <w:tc>
          <w:tcPr>
            <w:tcW w:type="dxa" w:w="3118"/>
          </w:tcPr>
          <w:p>
            <w:pPr>
              <w:jc w:val="center"/>
            </w:pPr>
            <w:r>
              <w:rPr>
                <w:sz w:val="20"/>
              </w:rPr>
              <w:t>40.9</w:t>
            </w:r>
          </w:p>
        </w:tc>
        <w:tc>
          <w:tcPr>
            <w:tcW w:type="dxa" w:w="3118"/>
          </w:tcPr>
          <w:p>
            <w:pPr>
              <w:jc w:val="center"/>
            </w:pPr>
            <w:r>
              <w:rPr>
                <w:sz w:val="20"/>
              </w:rPr>
              <w:t>50.2</w:t>
            </w:r>
          </w:p>
        </w:tc>
      </w:tr>
      <w:tr>
        <w:tc>
          <w:tcPr>
            <w:tcW w:type="dxa" w:w="3118"/>
          </w:tcPr>
          <w:p>
            <w:pPr>
              <w:jc w:val="left"/>
            </w:pPr>
            <w:r>
              <w:rPr>
                <w:sz w:val="20"/>
              </w:rPr>
              <w:t>Adamawa</w:t>
            </w:r>
          </w:p>
        </w:tc>
        <w:tc>
          <w:tcPr>
            <w:tcW w:type="dxa" w:w="3118"/>
          </w:tcPr>
          <w:p>
            <w:pPr>
              <w:jc w:val="center"/>
            </w:pPr>
            <w:r>
              <w:rPr>
                <w:sz w:val="20"/>
              </w:rPr>
              <w:t>76.6</w:t>
            </w:r>
          </w:p>
        </w:tc>
        <w:tc>
          <w:tcPr>
            <w:tcW w:type="dxa" w:w="3118"/>
          </w:tcPr>
          <w:p>
            <w:pPr>
              <w:jc w:val="center"/>
            </w:pPr>
            <w:r>
              <w:rPr>
                <w:sz w:val="20"/>
              </w:rPr>
              <w:t>77.8</w:t>
            </w:r>
          </w:p>
        </w:tc>
      </w:tr>
      <w:tr>
        <w:tc>
          <w:tcPr>
            <w:tcW w:type="dxa" w:w="3118"/>
          </w:tcPr>
          <w:p>
            <w:pPr>
              <w:jc w:val="left"/>
            </w:pPr>
            <w:r>
              <w:rPr>
                <w:sz w:val="20"/>
              </w:rPr>
              <w:t>Akwa Ibom</w:t>
            </w:r>
          </w:p>
        </w:tc>
        <w:tc>
          <w:tcPr>
            <w:tcW w:type="dxa" w:w="3118"/>
          </w:tcPr>
          <w:p>
            <w:pPr>
              <w:jc w:val="center"/>
            </w:pPr>
            <w:r>
              <w:rPr>
                <w:sz w:val="20"/>
              </w:rPr>
              <w:t>56.8</w:t>
            </w:r>
          </w:p>
        </w:tc>
        <w:tc>
          <w:tcPr>
            <w:tcW w:type="dxa" w:w="3118"/>
          </w:tcPr>
          <w:p>
            <w:pPr>
              <w:jc w:val="center"/>
            </w:pPr>
            <w:r>
              <w:rPr>
                <w:sz w:val="20"/>
              </w:rPr>
              <w:t>51.0</w:t>
            </w:r>
          </w:p>
        </w:tc>
      </w:tr>
      <w:tr>
        <w:tc>
          <w:tcPr>
            <w:tcW w:type="dxa" w:w="3118"/>
          </w:tcPr>
          <w:p>
            <w:pPr>
              <w:jc w:val="left"/>
            </w:pPr>
            <w:r>
              <w:rPr>
                <w:sz w:val="20"/>
              </w:rPr>
              <w:t>Anambra</w:t>
            </w:r>
          </w:p>
        </w:tc>
        <w:tc>
          <w:tcPr>
            <w:tcW w:type="dxa" w:w="3118"/>
          </w:tcPr>
          <w:p>
            <w:pPr>
              <w:jc w:val="center"/>
            </w:pPr>
            <w:r>
              <w:rPr>
                <w:sz w:val="20"/>
              </w:rPr>
              <w:t>41.4</w:t>
            </w:r>
          </w:p>
        </w:tc>
        <w:tc>
          <w:tcPr>
            <w:tcW w:type="dxa" w:w="3118"/>
          </w:tcPr>
          <w:p>
            <w:pPr>
              <w:jc w:val="center"/>
            </w:pPr>
            <w:r>
              <w:rPr>
                <w:sz w:val="20"/>
              </w:rPr>
              <w:t>53.7</w:t>
            </w:r>
          </w:p>
        </w:tc>
      </w:tr>
      <w:tr>
        <w:tc>
          <w:tcPr>
            <w:tcW w:type="dxa" w:w="3118"/>
          </w:tcPr>
          <w:p>
            <w:pPr>
              <w:jc w:val="left"/>
            </w:pPr>
            <w:r>
              <w:rPr>
                <w:sz w:val="20"/>
              </w:rPr>
              <w:t>Bauchi</w:t>
            </w:r>
          </w:p>
        </w:tc>
        <w:tc>
          <w:tcPr>
            <w:tcW w:type="dxa" w:w="3118"/>
          </w:tcPr>
          <w:p>
            <w:pPr>
              <w:jc w:val="center"/>
            </w:pPr>
            <w:r>
              <w:rPr>
                <w:sz w:val="20"/>
              </w:rPr>
              <w:t>87.8</w:t>
            </w:r>
          </w:p>
        </w:tc>
        <w:tc>
          <w:tcPr>
            <w:tcW w:type="dxa" w:w="3118"/>
          </w:tcPr>
          <w:p>
            <w:pPr>
              <w:jc w:val="center"/>
            </w:pPr>
            <w:r>
              <w:rPr>
                <w:sz w:val="20"/>
              </w:rPr>
              <w:t>84.0</w:t>
            </w:r>
          </w:p>
        </w:tc>
      </w:tr>
      <w:tr>
        <w:tc>
          <w:tcPr>
            <w:tcW w:type="dxa" w:w="3118"/>
          </w:tcPr>
          <w:p>
            <w:pPr>
              <w:jc w:val="left"/>
            </w:pPr>
            <w:r>
              <w:rPr>
                <w:sz w:val="20"/>
              </w:rPr>
              <w:t>Bayelsa</w:t>
            </w:r>
          </w:p>
        </w:tc>
        <w:tc>
          <w:tcPr>
            <w:tcW w:type="dxa" w:w="3118"/>
          </w:tcPr>
          <w:p>
            <w:pPr>
              <w:jc w:val="center"/>
            </w:pPr>
            <w:r>
              <w:rPr>
                <w:sz w:val="20"/>
              </w:rPr>
              <w:t>40.0</w:t>
            </w:r>
          </w:p>
        </w:tc>
        <w:tc>
          <w:tcPr>
            <w:tcW w:type="dxa" w:w="3118"/>
          </w:tcPr>
          <w:p>
            <w:pPr>
              <w:jc w:val="center"/>
            </w:pPr>
            <w:r>
              <w:rPr>
                <w:sz w:val="20"/>
              </w:rPr>
              <w:t>44.0</w:t>
            </w:r>
          </w:p>
        </w:tc>
      </w:tr>
      <w:tr>
        <w:tc>
          <w:tcPr>
            <w:tcW w:type="dxa" w:w="3118"/>
          </w:tcPr>
          <w:p>
            <w:pPr>
              <w:jc w:val="left"/>
            </w:pPr>
            <w:r>
              <w:rPr>
                <w:sz w:val="20"/>
              </w:rPr>
              <w:t>Benue</w:t>
            </w:r>
          </w:p>
        </w:tc>
        <w:tc>
          <w:tcPr>
            <w:tcW w:type="dxa" w:w="3118"/>
          </w:tcPr>
          <w:p>
            <w:pPr>
              <w:jc w:val="center"/>
            </w:pPr>
            <w:r>
              <w:rPr>
                <w:sz w:val="20"/>
              </w:rPr>
              <w:t>64.7</w:t>
            </w:r>
          </w:p>
        </w:tc>
        <w:tc>
          <w:tcPr>
            <w:tcW w:type="dxa" w:w="3118"/>
          </w:tcPr>
          <w:p>
            <w:pPr>
              <w:jc w:val="center"/>
            </w:pPr>
            <w:r>
              <w:rPr>
                <w:sz w:val="20"/>
              </w:rPr>
              <w:t>73.6</w:t>
            </w:r>
          </w:p>
        </w:tc>
      </w:tr>
      <w:tr>
        <w:tc>
          <w:tcPr>
            <w:tcW w:type="dxa" w:w="3118"/>
          </w:tcPr>
          <w:p>
            <w:pPr>
              <w:jc w:val="left"/>
            </w:pPr>
            <w:r>
              <w:rPr>
                <w:sz w:val="20"/>
              </w:rPr>
              <w:t>Borno</w:t>
            </w:r>
          </w:p>
        </w:tc>
        <w:tc>
          <w:tcPr>
            <w:tcW w:type="dxa" w:w="3118"/>
          </w:tcPr>
          <w:p>
            <w:pPr>
              <w:jc w:val="center"/>
            </w:pPr>
            <w:r>
              <w:rPr>
                <w:sz w:val="20"/>
              </w:rPr>
              <w:t>59.8</w:t>
            </w:r>
          </w:p>
        </w:tc>
        <w:tc>
          <w:tcPr>
            <w:tcW w:type="dxa" w:w="3118"/>
          </w:tcPr>
          <w:p>
            <w:pPr>
              <w:jc w:val="center"/>
            </w:pPr>
            <w:r>
              <w:rPr>
                <w:sz w:val="20"/>
              </w:rPr>
              <w:t>60.6</w:t>
            </w:r>
          </w:p>
        </w:tc>
      </w:tr>
      <w:tr>
        <w:tc>
          <w:tcPr>
            <w:tcW w:type="dxa" w:w="3118"/>
          </w:tcPr>
          <w:p>
            <w:pPr>
              <w:jc w:val="left"/>
            </w:pPr>
            <w:r>
              <w:rPr>
                <w:sz w:val="20"/>
              </w:rPr>
              <w:t>Cross River</w:t>
            </w:r>
          </w:p>
        </w:tc>
        <w:tc>
          <w:tcPr>
            <w:tcW w:type="dxa" w:w="3118"/>
          </w:tcPr>
          <w:p>
            <w:pPr>
              <w:jc w:val="center"/>
            </w:pPr>
            <w:r>
              <w:rPr>
                <w:sz w:val="20"/>
              </w:rPr>
              <w:t>67.0</w:t>
            </w:r>
          </w:p>
        </w:tc>
        <w:tc>
          <w:tcPr>
            <w:tcW w:type="dxa" w:w="3118"/>
          </w:tcPr>
          <w:p>
            <w:pPr>
              <w:jc w:val="center"/>
            </w:pPr>
            <w:r>
              <w:rPr>
                <w:sz w:val="20"/>
              </w:rPr>
              <w:t>60.4</w:t>
            </w:r>
          </w:p>
        </w:tc>
      </w:tr>
      <w:tr>
        <w:tc>
          <w:tcPr>
            <w:tcW w:type="dxa" w:w="3118"/>
          </w:tcPr>
          <w:p>
            <w:pPr>
              <w:jc w:val="left"/>
            </w:pPr>
            <w:r>
              <w:rPr>
                <w:sz w:val="20"/>
              </w:rPr>
              <w:t>Delta</w:t>
            </w:r>
          </w:p>
        </w:tc>
        <w:tc>
          <w:tcPr>
            <w:tcW w:type="dxa" w:w="3118"/>
          </w:tcPr>
          <w:p>
            <w:pPr>
              <w:jc w:val="center"/>
            </w:pPr>
            <w:r>
              <w:rPr>
                <w:sz w:val="20"/>
              </w:rPr>
              <w:t>70.6</w:t>
            </w:r>
          </w:p>
        </w:tc>
        <w:tc>
          <w:tcPr>
            <w:tcW w:type="dxa" w:w="3118"/>
          </w:tcPr>
          <w:p>
            <w:pPr>
              <w:jc w:val="center"/>
            </w:pPr>
            <w:r>
              <w:rPr>
                <w:sz w:val="20"/>
              </w:rPr>
              <w:t>53.8</w:t>
            </w:r>
          </w:p>
        </w:tc>
      </w:tr>
      <w:tr>
        <w:tc>
          <w:tcPr>
            <w:tcW w:type="dxa" w:w="3118"/>
          </w:tcPr>
          <w:p>
            <w:pPr>
              <w:jc w:val="left"/>
            </w:pPr>
            <w:r>
              <w:rPr>
                <w:sz w:val="20"/>
              </w:rPr>
              <w:t>Ebonyi</w:t>
            </w:r>
          </w:p>
        </w:tc>
        <w:tc>
          <w:tcPr>
            <w:tcW w:type="dxa" w:w="3118"/>
          </w:tcPr>
          <w:p>
            <w:pPr>
              <w:jc w:val="center"/>
            </w:pPr>
            <w:r>
              <w:rPr>
                <w:sz w:val="20"/>
              </w:rPr>
              <w:t>63.2</w:t>
            </w:r>
          </w:p>
        </w:tc>
        <w:tc>
          <w:tcPr>
            <w:tcW w:type="dxa" w:w="3118"/>
          </w:tcPr>
          <w:p>
            <w:pPr>
              <w:jc w:val="center"/>
            </w:pPr>
            <w:r>
              <w:rPr>
                <w:sz w:val="20"/>
              </w:rPr>
              <w:t>82.9</w:t>
            </w:r>
          </w:p>
        </w:tc>
      </w:tr>
      <w:tr>
        <w:tc>
          <w:tcPr>
            <w:tcW w:type="dxa" w:w="3118"/>
          </w:tcPr>
          <w:p>
            <w:pPr>
              <w:jc w:val="left"/>
            </w:pPr>
            <w:r>
              <w:rPr>
                <w:sz w:val="20"/>
              </w:rPr>
              <w:t>Edo</w:t>
            </w:r>
          </w:p>
        </w:tc>
        <w:tc>
          <w:tcPr>
            <w:tcW w:type="dxa" w:w="3118"/>
          </w:tcPr>
          <w:p>
            <w:pPr>
              <w:jc w:val="center"/>
            </w:pPr>
            <w:r>
              <w:rPr>
                <w:sz w:val="20"/>
              </w:rPr>
              <w:t>53.6</w:t>
            </w:r>
          </w:p>
        </w:tc>
        <w:tc>
          <w:tcPr>
            <w:tcW w:type="dxa" w:w="3118"/>
          </w:tcPr>
          <w:p>
            <w:pPr>
              <w:jc w:val="center"/>
            </w:pPr>
            <w:r>
              <w:rPr>
                <w:sz w:val="20"/>
              </w:rPr>
              <w:t>64.1</w:t>
            </w:r>
          </w:p>
        </w:tc>
      </w:tr>
      <w:tr>
        <w:tc>
          <w:tcPr>
            <w:tcW w:type="dxa" w:w="3118"/>
          </w:tcPr>
          <w:p>
            <w:pPr>
              <w:jc w:val="left"/>
            </w:pPr>
            <w:r>
              <w:rPr>
                <w:sz w:val="20"/>
              </w:rPr>
              <w:t>Ekiti</w:t>
            </w:r>
          </w:p>
        </w:tc>
        <w:tc>
          <w:tcPr>
            <w:tcW w:type="dxa" w:w="3118"/>
          </w:tcPr>
          <w:p>
            <w:pPr>
              <w:jc w:val="center"/>
            </w:pPr>
            <w:r>
              <w:rPr>
                <w:sz w:val="20"/>
              </w:rPr>
              <w:t>60.4</w:t>
            </w:r>
          </w:p>
        </w:tc>
        <w:tc>
          <w:tcPr>
            <w:tcW w:type="dxa" w:w="3118"/>
          </w:tcPr>
          <w:p>
            <w:pPr>
              <w:jc w:val="center"/>
            </w:pPr>
            <w:r>
              <w:rPr>
                <w:sz w:val="20"/>
              </w:rPr>
              <w:t>55.9</w:t>
            </w:r>
          </w:p>
        </w:tc>
      </w:tr>
      <w:tr>
        <w:tc>
          <w:tcPr>
            <w:tcW w:type="dxa" w:w="3118"/>
          </w:tcPr>
          <w:p>
            <w:pPr>
              <w:jc w:val="left"/>
            </w:pPr>
            <w:r>
              <w:rPr>
                <w:sz w:val="20"/>
              </w:rPr>
              <w:t>Enugu</w:t>
            </w:r>
          </w:p>
        </w:tc>
        <w:tc>
          <w:tcPr>
            <w:tcW w:type="dxa" w:w="3118"/>
          </w:tcPr>
          <w:p>
            <w:pPr>
              <w:jc w:val="center"/>
            </w:pPr>
            <w:r>
              <w:rPr>
                <w:sz w:val="20"/>
              </w:rPr>
              <w:t>50.2</w:t>
            </w:r>
          </w:p>
        </w:tc>
        <w:tc>
          <w:tcPr>
            <w:tcW w:type="dxa" w:w="3118"/>
          </w:tcPr>
          <w:p>
            <w:pPr>
              <w:jc w:val="center"/>
            </w:pPr>
            <w:r>
              <w:rPr>
                <w:sz w:val="20"/>
              </w:rPr>
              <w:t>60.6</w:t>
            </w:r>
          </w:p>
        </w:tc>
      </w:tr>
      <w:tr>
        <w:tc>
          <w:tcPr>
            <w:tcW w:type="dxa" w:w="3118"/>
          </w:tcPr>
          <w:p>
            <w:pPr>
              <w:jc w:val="left"/>
            </w:pPr>
            <w:r>
              <w:rPr>
                <w:sz w:val="20"/>
              </w:rPr>
              <w:t>Gombe</w:t>
            </w:r>
          </w:p>
        </w:tc>
        <w:tc>
          <w:tcPr>
            <w:tcW w:type="dxa" w:w="3118"/>
          </w:tcPr>
          <w:p>
            <w:pPr>
              <w:jc w:val="center"/>
            </w:pPr>
            <w:r>
              <w:rPr>
                <w:sz w:val="20"/>
              </w:rPr>
              <w:t>73.1</w:t>
            </w:r>
          </w:p>
        </w:tc>
        <w:tc>
          <w:tcPr>
            <w:tcW w:type="dxa" w:w="3118"/>
          </w:tcPr>
          <w:p>
            <w:pPr>
              <w:jc w:val="center"/>
            </w:pPr>
            <w:r>
              <w:rPr>
                <w:sz w:val="20"/>
              </w:rPr>
              <w:t>81.6</w:t>
            </w:r>
          </w:p>
        </w:tc>
      </w:tr>
      <w:tr>
        <w:tc>
          <w:tcPr>
            <w:tcW w:type="dxa" w:w="3118"/>
          </w:tcPr>
          <w:p>
            <w:pPr>
              <w:jc w:val="left"/>
            </w:pPr>
            <w:r>
              <w:rPr>
                <w:sz w:val="20"/>
              </w:rPr>
              <w:t>Imo</w:t>
            </w:r>
          </w:p>
        </w:tc>
        <w:tc>
          <w:tcPr>
            <w:tcW w:type="dxa" w:w="3118"/>
          </w:tcPr>
          <w:p>
            <w:pPr>
              <w:jc w:val="center"/>
            </w:pPr>
            <w:r>
              <w:rPr>
                <w:sz w:val="20"/>
              </w:rPr>
              <w:t>46.7</w:t>
            </w:r>
          </w:p>
        </w:tc>
        <w:tc>
          <w:tcPr>
            <w:tcW w:type="dxa" w:w="3118"/>
          </w:tcPr>
          <w:p>
            <w:pPr>
              <w:jc w:val="center"/>
            </w:pPr>
            <w:r>
              <w:rPr>
                <w:sz w:val="20"/>
              </w:rPr>
              <w:t>39.4</w:t>
            </w:r>
          </w:p>
        </w:tc>
      </w:tr>
      <w:tr>
        <w:tc>
          <w:tcPr>
            <w:tcW w:type="dxa" w:w="3118"/>
          </w:tcPr>
          <w:p>
            <w:pPr>
              <w:jc w:val="left"/>
            </w:pPr>
            <w:r>
              <w:rPr>
                <w:sz w:val="20"/>
              </w:rPr>
              <w:t>Jigawa</w:t>
            </w:r>
          </w:p>
        </w:tc>
        <w:tc>
          <w:tcPr>
            <w:tcW w:type="dxa" w:w="3118"/>
          </w:tcPr>
          <w:p>
            <w:pPr>
              <w:jc w:val="center"/>
            </w:pPr>
            <w:r>
              <w:rPr>
                <w:sz w:val="20"/>
              </w:rPr>
              <w:t>95.3</w:t>
            </w:r>
          </w:p>
        </w:tc>
        <w:tc>
          <w:tcPr>
            <w:tcW w:type="dxa" w:w="3118"/>
          </w:tcPr>
          <w:p>
            <w:pPr>
              <w:jc w:val="center"/>
            </w:pPr>
            <w:r>
              <w:rPr>
                <w:sz w:val="20"/>
              </w:rPr>
              <w:t>88.5</w:t>
            </w:r>
          </w:p>
        </w:tc>
      </w:tr>
      <w:tr>
        <w:tc>
          <w:tcPr>
            <w:tcW w:type="dxa" w:w="3118"/>
          </w:tcPr>
          <w:p>
            <w:pPr>
              <w:jc w:val="left"/>
            </w:pPr>
            <w:r>
              <w:rPr>
                <w:sz w:val="20"/>
              </w:rPr>
              <w:t>Kaduna</w:t>
            </w:r>
          </w:p>
        </w:tc>
        <w:tc>
          <w:tcPr>
            <w:tcW w:type="dxa" w:w="3118"/>
          </w:tcPr>
          <w:p>
            <w:pPr>
              <w:jc w:val="center"/>
            </w:pPr>
            <w:r>
              <w:rPr>
                <w:sz w:val="20"/>
              </w:rPr>
              <w:t>54.2</w:t>
            </w:r>
          </w:p>
        </w:tc>
        <w:tc>
          <w:tcPr>
            <w:tcW w:type="dxa" w:w="3118"/>
          </w:tcPr>
          <w:p>
            <w:pPr>
              <w:jc w:val="center"/>
            </w:pPr>
            <w:r>
              <w:rPr>
                <w:sz w:val="20"/>
              </w:rPr>
              <w:t>64.0</w:t>
            </w:r>
          </w:p>
        </w:tc>
      </w:tr>
      <w:tr>
        <w:tc>
          <w:tcPr>
            <w:tcW w:type="dxa" w:w="3118"/>
          </w:tcPr>
          <w:p>
            <w:pPr>
              <w:jc w:val="left"/>
            </w:pPr>
            <w:r>
              <w:rPr>
                <w:sz w:val="20"/>
              </w:rPr>
              <w:t>Kano</w:t>
            </w:r>
          </w:p>
        </w:tc>
        <w:tc>
          <w:tcPr>
            <w:tcW w:type="dxa" w:w="3118"/>
          </w:tcPr>
          <w:p>
            <w:pPr>
              <w:jc w:val="center"/>
            </w:pPr>
            <w:r>
              <w:rPr>
                <w:sz w:val="20"/>
              </w:rPr>
              <w:t>59.4</w:t>
            </w:r>
          </w:p>
        </w:tc>
        <w:tc>
          <w:tcPr>
            <w:tcW w:type="dxa" w:w="3118"/>
          </w:tcPr>
          <w:p>
            <w:pPr>
              <w:jc w:val="center"/>
            </w:pPr>
            <w:r>
              <w:rPr>
                <w:sz w:val="20"/>
              </w:rPr>
              <w:t>70.4</w:t>
            </w:r>
          </w:p>
        </w:tc>
      </w:tr>
      <w:tr>
        <w:tc>
          <w:tcPr>
            <w:tcW w:type="dxa" w:w="3118"/>
          </w:tcPr>
          <w:p>
            <w:pPr>
              <w:jc w:val="left"/>
            </w:pPr>
            <w:r>
              <w:rPr>
                <w:sz w:val="20"/>
              </w:rPr>
              <w:t>Katsina</w:t>
            </w:r>
          </w:p>
        </w:tc>
        <w:tc>
          <w:tcPr>
            <w:tcW w:type="dxa" w:w="3118"/>
          </w:tcPr>
          <w:p>
            <w:pPr>
              <w:jc w:val="center"/>
            </w:pPr>
            <w:r>
              <w:rPr>
                <w:sz w:val="20"/>
              </w:rPr>
              <w:t>72.9</w:t>
            </w:r>
          </w:p>
        </w:tc>
        <w:tc>
          <w:tcPr>
            <w:tcW w:type="dxa" w:w="3118"/>
          </w:tcPr>
          <w:p>
            <w:pPr>
              <w:jc w:val="center"/>
            </w:pPr>
            <w:r>
              <w:rPr>
                <w:sz w:val="20"/>
              </w:rPr>
              <w:t>77.6</w:t>
            </w:r>
          </w:p>
        </w:tc>
      </w:tr>
      <w:tr>
        <w:tc>
          <w:tcPr>
            <w:tcW w:type="dxa" w:w="3118"/>
          </w:tcPr>
          <w:p>
            <w:pPr>
              <w:jc w:val="left"/>
            </w:pPr>
            <w:r>
              <w:rPr>
                <w:sz w:val="20"/>
              </w:rPr>
              <w:t>Kebbi</w:t>
            </w:r>
          </w:p>
        </w:tc>
        <w:tc>
          <w:tcPr>
            <w:tcW w:type="dxa" w:w="3118"/>
          </w:tcPr>
          <w:p>
            <w:pPr>
              <w:jc w:val="center"/>
            </w:pPr>
            <w:r>
              <w:rPr>
                <w:sz w:val="20"/>
              </w:rPr>
              <w:t>90.8</w:t>
            </w:r>
          </w:p>
        </w:tc>
        <w:tc>
          <w:tcPr>
            <w:tcW w:type="dxa" w:w="3118"/>
          </w:tcPr>
          <w:p>
            <w:pPr>
              <w:jc w:val="center"/>
            </w:pPr>
            <w:r>
              <w:rPr>
                <w:sz w:val="20"/>
              </w:rPr>
              <w:t>72.5</w:t>
            </w:r>
          </w:p>
        </w:tc>
      </w:tr>
      <w:tr>
        <w:tc>
          <w:tcPr>
            <w:tcW w:type="dxa" w:w="3118"/>
          </w:tcPr>
          <w:p>
            <w:pPr>
              <w:jc w:val="left"/>
            </w:pPr>
            <w:r>
              <w:rPr>
                <w:sz w:val="20"/>
              </w:rPr>
              <w:t>Kogi</w:t>
            </w:r>
          </w:p>
        </w:tc>
        <w:tc>
          <w:tcPr>
            <w:tcW w:type="dxa" w:w="3118"/>
          </w:tcPr>
          <w:p>
            <w:pPr>
              <w:jc w:val="center"/>
            </w:pPr>
            <w:r>
              <w:rPr>
                <w:sz w:val="20"/>
              </w:rPr>
              <w:t>91.8</w:t>
            </w:r>
          </w:p>
        </w:tc>
        <w:tc>
          <w:tcPr>
            <w:tcW w:type="dxa" w:w="3118"/>
          </w:tcPr>
          <w:p>
            <w:pPr>
              <w:jc w:val="center"/>
            </w:pPr>
            <w:r>
              <w:rPr>
                <w:sz w:val="20"/>
              </w:rPr>
              <w:t>67.4</w:t>
            </w:r>
          </w:p>
        </w:tc>
      </w:tr>
      <w:tr>
        <w:tc>
          <w:tcPr>
            <w:tcW w:type="dxa" w:w="3118"/>
          </w:tcPr>
          <w:p>
            <w:pPr>
              <w:jc w:val="left"/>
            </w:pPr>
            <w:r>
              <w:rPr>
                <w:sz w:val="20"/>
              </w:rPr>
              <w:t>Kwara</w:t>
            </w:r>
          </w:p>
        </w:tc>
        <w:tc>
          <w:tcPr>
            <w:tcW w:type="dxa" w:w="3118"/>
          </w:tcPr>
          <w:p>
            <w:pPr>
              <w:jc w:val="center"/>
            </w:pPr>
            <w:r>
              <w:rPr>
                <w:sz w:val="20"/>
              </w:rPr>
              <w:t>87.8</w:t>
            </w:r>
          </w:p>
        </w:tc>
        <w:tc>
          <w:tcPr>
            <w:tcW w:type="dxa" w:w="3118"/>
          </w:tcPr>
          <w:p>
            <w:pPr>
              <w:jc w:val="center"/>
            </w:pPr>
            <w:r>
              <w:rPr>
                <w:sz w:val="20"/>
              </w:rPr>
              <w:t>72.1</w:t>
            </w:r>
          </w:p>
        </w:tc>
      </w:tr>
      <w:tr>
        <w:tc>
          <w:tcPr>
            <w:tcW w:type="dxa" w:w="3118"/>
          </w:tcPr>
          <w:p>
            <w:pPr>
              <w:jc w:val="left"/>
            </w:pPr>
            <w:r>
              <w:rPr>
                <w:sz w:val="20"/>
              </w:rPr>
              <w:t>Lagos</w:t>
            </w:r>
          </w:p>
        </w:tc>
        <w:tc>
          <w:tcPr>
            <w:tcW w:type="dxa" w:w="3118"/>
          </w:tcPr>
          <w:p>
            <w:pPr>
              <w:jc w:val="center"/>
            </w:pPr>
            <w:r>
              <w:rPr>
                <w:sz w:val="20"/>
              </w:rPr>
              <w:t>69.4</w:t>
            </w:r>
          </w:p>
        </w:tc>
        <w:tc>
          <w:tcPr>
            <w:tcW w:type="dxa" w:w="3118"/>
          </w:tcPr>
          <w:p>
            <w:pPr>
              <w:jc w:val="center"/>
            </w:pPr>
            <w:r>
              <w:rPr>
                <w:sz w:val="20"/>
              </w:rPr>
              <w:t>40.3</w:t>
            </w:r>
          </w:p>
        </w:tc>
      </w:tr>
      <w:tr>
        <w:tc>
          <w:tcPr>
            <w:tcW w:type="dxa" w:w="3118"/>
          </w:tcPr>
          <w:p>
            <w:pPr>
              <w:jc w:val="left"/>
            </w:pPr>
            <w:r>
              <w:rPr>
                <w:sz w:val="20"/>
              </w:rPr>
              <w:t>Nassarawa</w:t>
            </w:r>
          </w:p>
        </w:tc>
        <w:tc>
          <w:tcPr>
            <w:tcW w:type="dxa" w:w="3118"/>
          </w:tcPr>
          <w:p>
            <w:pPr>
              <w:jc w:val="center"/>
            </w:pPr>
            <w:r>
              <w:rPr>
                <w:sz w:val="20"/>
              </w:rPr>
              <w:t>66.1</w:t>
            </w:r>
          </w:p>
        </w:tc>
        <w:tc>
          <w:tcPr>
            <w:tcW w:type="dxa" w:w="3118"/>
          </w:tcPr>
          <w:p>
            <w:pPr>
              <w:jc w:val="center"/>
            </w:pPr>
            <w:r>
              <w:rPr>
                <w:sz w:val="20"/>
              </w:rPr>
              <w:t>78.4</w:t>
            </w:r>
          </w:p>
        </w:tc>
      </w:tr>
      <w:tr>
        <w:tc>
          <w:tcPr>
            <w:tcW w:type="dxa" w:w="3118"/>
          </w:tcPr>
          <w:p>
            <w:pPr>
              <w:jc w:val="left"/>
            </w:pPr>
            <w:r>
              <w:rPr>
                <w:sz w:val="20"/>
              </w:rPr>
              <w:t>Niger</w:t>
            </w:r>
          </w:p>
        </w:tc>
        <w:tc>
          <w:tcPr>
            <w:tcW w:type="dxa" w:w="3118"/>
          </w:tcPr>
          <w:p>
            <w:pPr>
              <w:jc w:val="center"/>
            </w:pPr>
            <w:r>
              <w:rPr>
                <w:sz w:val="20"/>
              </w:rPr>
              <w:t>64.4</w:t>
            </w:r>
          </w:p>
        </w:tc>
        <w:tc>
          <w:tcPr>
            <w:tcW w:type="dxa" w:w="3118"/>
          </w:tcPr>
          <w:p>
            <w:pPr>
              <w:jc w:val="center"/>
            </w:pPr>
            <w:r>
              <w:rPr>
                <w:sz w:val="20"/>
              </w:rPr>
              <w:t>51.0</w:t>
            </w:r>
          </w:p>
        </w:tc>
      </w:tr>
      <w:tr>
        <w:tc>
          <w:tcPr>
            <w:tcW w:type="dxa" w:w="3118"/>
          </w:tcPr>
          <w:p>
            <w:pPr>
              <w:jc w:val="left"/>
            </w:pPr>
            <w:r>
              <w:rPr>
                <w:sz w:val="20"/>
              </w:rPr>
              <w:t>Ogun</w:t>
            </w:r>
          </w:p>
        </w:tc>
        <w:tc>
          <w:tcPr>
            <w:tcW w:type="dxa" w:w="3118"/>
          </w:tcPr>
          <w:p>
            <w:pPr>
              <w:jc w:val="center"/>
            </w:pPr>
            <w:r>
              <w:rPr>
                <w:sz w:val="20"/>
              </w:rPr>
              <w:t>49.9</w:t>
            </w:r>
          </w:p>
        </w:tc>
        <w:tc>
          <w:tcPr>
            <w:tcW w:type="dxa" w:w="3118"/>
          </w:tcPr>
          <w:p>
            <w:pPr>
              <w:jc w:val="center"/>
            </w:pPr>
            <w:r>
              <w:rPr>
                <w:sz w:val="20"/>
              </w:rPr>
              <w:t>57.6</w:t>
            </w:r>
          </w:p>
        </w:tc>
      </w:tr>
      <w:tr>
        <w:tc>
          <w:tcPr>
            <w:tcW w:type="dxa" w:w="3118"/>
          </w:tcPr>
          <w:p>
            <w:pPr>
              <w:jc w:val="left"/>
            </w:pPr>
            <w:r>
              <w:rPr>
                <w:sz w:val="20"/>
              </w:rPr>
              <w:t>Ondo</w:t>
            </w:r>
          </w:p>
        </w:tc>
        <w:tc>
          <w:tcPr>
            <w:tcW w:type="dxa" w:w="3118"/>
          </w:tcPr>
          <w:p>
            <w:pPr>
              <w:jc w:val="center"/>
            </w:pPr>
            <w:r>
              <w:rPr>
                <w:sz w:val="20"/>
              </w:rPr>
              <w:t>62.8</w:t>
            </w:r>
          </w:p>
        </w:tc>
        <w:tc>
          <w:tcPr>
            <w:tcW w:type="dxa" w:w="3118"/>
          </w:tcPr>
          <w:p>
            <w:pPr>
              <w:jc w:val="center"/>
            </w:pPr>
            <w:r>
              <w:rPr>
                <w:sz w:val="20"/>
              </w:rPr>
              <w:t>57.7</w:t>
            </w:r>
          </w:p>
        </w:tc>
      </w:tr>
      <w:tr>
        <w:tc>
          <w:tcPr>
            <w:tcW w:type="dxa" w:w="3118"/>
          </w:tcPr>
          <w:p>
            <w:pPr>
              <w:jc w:val="left"/>
            </w:pPr>
            <w:r>
              <w:rPr>
                <w:sz w:val="20"/>
              </w:rPr>
              <w:t>Osun</w:t>
            </w:r>
          </w:p>
        </w:tc>
        <w:tc>
          <w:tcPr>
            <w:tcW w:type="dxa" w:w="3118"/>
          </w:tcPr>
          <w:p>
            <w:pPr>
              <w:jc w:val="center"/>
            </w:pPr>
            <w:r>
              <w:rPr>
                <w:sz w:val="20"/>
              </w:rPr>
              <w:t>44.6</w:t>
            </w:r>
          </w:p>
        </w:tc>
        <w:tc>
          <w:tcPr>
            <w:tcW w:type="dxa" w:w="3118"/>
          </w:tcPr>
          <w:p>
            <w:pPr>
              <w:jc w:val="center"/>
            </w:pPr>
            <w:r>
              <w:rPr>
                <w:sz w:val="20"/>
              </w:rPr>
              <w:t>37.5</w:t>
            </w:r>
          </w:p>
        </w:tc>
      </w:tr>
      <w:tr>
        <w:tc>
          <w:tcPr>
            <w:tcW w:type="dxa" w:w="3118"/>
          </w:tcPr>
          <w:p>
            <w:pPr>
              <w:jc w:val="left"/>
            </w:pPr>
            <w:r>
              <w:rPr>
                <w:sz w:val="20"/>
              </w:rPr>
              <w:t>Oyo</w:t>
            </w:r>
          </w:p>
        </w:tc>
        <w:tc>
          <w:tcPr>
            <w:tcW w:type="dxa" w:w="3118"/>
          </w:tcPr>
          <w:p>
            <w:pPr>
              <w:jc w:val="center"/>
            </w:pPr>
            <w:r>
              <w:rPr>
                <w:sz w:val="20"/>
              </w:rPr>
              <w:t>38.0</w:t>
            </w:r>
          </w:p>
        </w:tc>
        <w:tc>
          <w:tcPr>
            <w:tcW w:type="dxa" w:w="3118"/>
          </w:tcPr>
          <w:p>
            <w:pPr>
              <w:jc w:val="center"/>
            </w:pPr>
            <w:r>
              <w:rPr>
                <w:sz w:val="20"/>
              </w:rPr>
              <w:t>50.8</w:t>
            </w:r>
          </w:p>
        </w:tc>
      </w:tr>
      <w:tr>
        <w:tc>
          <w:tcPr>
            <w:tcW w:type="dxa" w:w="3118"/>
          </w:tcPr>
          <w:p>
            <w:pPr>
              <w:jc w:val="left"/>
            </w:pPr>
            <w:r>
              <w:rPr>
                <w:sz w:val="20"/>
              </w:rPr>
              <w:t>Plateau</w:t>
            </w:r>
          </w:p>
        </w:tc>
        <w:tc>
          <w:tcPr>
            <w:tcW w:type="dxa" w:w="3118"/>
          </w:tcPr>
          <w:p>
            <w:pPr>
              <w:jc w:val="center"/>
            </w:pPr>
            <w:r>
              <w:rPr>
                <w:sz w:val="20"/>
              </w:rPr>
              <w:t>68.5</w:t>
            </w:r>
          </w:p>
        </w:tc>
        <w:tc>
          <w:tcPr>
            <w:tcW w:type="dxa" w:w="3118"/>
          </w:tcPr>
          <w:p>
            <w:pPr>
              <w:jc w:val="center"/>
            </w:pPr>
            <w:r>
              <w:rPr>
                <w:sz w:val="20"/>
              </w:rPr>
              <w:t>72.4</w:t>
            </w:r>
          </w:p>
        </w:tc>
      </w:tr>
      <w:tr>
        <w:tc>
          <w:tcPr>
            <w:tcW w:type="dxa" w:w="3118"/>
          </w:tcPr>
          <w:p>
            <w:pPr>
              <w:jc w:val="left"/>
            </w:pPr>
            <w:r>
              <w:rPr>
                <w:sz w:val="20"/>
              </w:rPr>
              <w:t>Rivers</w:t>
            </w:r>
          </w:p>
        </w:tc>
        <w:tc>
          <w:tcPr>
            <w:tcW w:type="dxa" w:w="3118"/>
          </w:tcPr>
          <w:p>
            <w:pPr>
              <w:jc w:val="center"/>
            </w:pPr>
            <w:r>
              <w:rPr>
                <w:sz w:val="20"/>
              </w:rPr>
              <w:t>56.7</w:t>
            </w:r>
          </w:p>
        </w:tc>
        <w:tc>
          <w:tcPr>
            <w:tcW w:type="dxa" w:w="3118"/>
          </w:tcPr>
          <w:p>
            <w:pPr>
              <w:jc w:val="center"/>
            </w:pPr>
            <w:r>
              <w:rPr>
                <w:sz w:val="20"/>
              </w:rPr>
              <w:t>47.2</w:t>
            </w:r>
          </w:p>
        </w:tc>
      </w:tr>
      <w:tr>
        <w:tc>
          <w:tcPr>
            <w:tcW w:type="dxa" w:w="3118"/>
          </w:tcPr>
          <w:p>
            <w:pPr>
              <w:jc w:val="left"/>
            </w:pPr>
            <w:r>
              <w:rPr>
                <w:sz w:val="20"/>
              </w:rPr>
              <w:t>Sokoto</w:t>
            </w:r>
          </w:p>
        </w:tc>
        <w:tc>
          <w:tcPr>
            <w:tcW w:type="dxa" w:w="3118"/>
          </w:tcPr>
          <w:p>
            <w:pPr>
              <w:jc w:val="center"/>
            </w:pPr>
            <w:r>
              <w:rPr>
                <w:sz w:val="20"/>
              </w:rPr>
              <w:t>75.2</w:t>
            </w:r>
          </w:p>
        </w:tc>
        <w:tc>
          <w:tcPr>
            <w:tcW w:type="dxa" w:w="3118"/>
          </w:tcPr>
          <w:p>
            <w:pPr>
              <w:jc w:val="center"/>
            </w:pPr>
            <w:r>
              <w:rPr>
                <w:sz w:val="20"/>
              </w:rPr>
              <w:t>86.1</w:t>
            </w:r>
          </w:p>
        </w:tc>
      </w:tr>
      <w:tr>
        <w:tc>
          <w:tcPr>
            <w:tcW w:type="dxa" w:w="3118"/>
          </w:tcPr>
          <w:p>
            <w:pPr>
              <w:jc w:val="left"/>
            </w:pPr>
            <w:r>
              <w:rPr>
                <w:sz w:val="20"/>
              </w:rPr>
              <w:t>Taraba</w:t>
            </w:r>
          </w:p>
        </w:tc>
        <w:tc>
          <w:tcPr>
            <w:tcW w:type="dxa" w:w="3118"/>
          </w:tcPr>
          <w:p>
            <w:pPr>
              <w:jc w:val="center"/>
            </w:pPr>
            <w:r>
              <w:rPr>
                <w:sz w:val="20"/>
              </w:rPr>
              <w:t>60.5</w:t>
            </w:r>
          </w:p>
        </w:tc>
        <w:tc>
          <w:tcPr>
            <w:tcW w:type="dxa" w:w="3118"/>
          </w:tcPr>
          <w:p>
            <w:pPr>
              <w:jc w:val="center"/>
            </w:pPr>
            <w:r>
              <w:rPr>
                <w:sz w:val="20"/>
              </w:rPr>
              <w:t>68.3</w:t>
            </w:r>
          </w:p>
        </w:tc>
      </w:tr>
      <w:tr>
        <w:tc>
          <w:tcPr>
            <w:tcW w:type="dxa" w:w="3118"/>
          </w:tcPr>
          <w:p>
            <w:pPr>
              <w:jc w:val="left"/>
            </w:pPr>
            <w:r>
              <w:rPr>
                <w:sz w:val="20"/>
              </w:rPr>
              <w:t>Yobe</w:t>
            </w:r>
          </w:p>
        </w:tc>
        <w:tc>
          <w:tcPr>
            <w:tcW w:type="dxa" w:w="3118"/>
          </w:tcPr>
          <w:p>
            <w:pPr>
              <w:jc w:val="center"/>
            </w:pPr>
            <w:r>
              <w:rPr>
                <w:sz w:val="20"/>
              </w:rPr>
              <w:t>88.0</w:t>
            </w:r>
          </w:p>
        </w:tc>
        <w:tc>
          <w:tcPr>
            <w:tcW w:type="dxa" w:w="3118"/>
          </w:tcPr>
          <w:p>
            <w:pPr>
              <w:jc w:val="center"/>
            </w:pPr>
            <w:r>
              <w:rPr>
                <w:sz w:val="20"/>
              </w:rPr>
              <w:t>81.7</w:t>
            </w:r>
          </w:p>
        </w:tc>
      </w:tr>
      <w:tr>
        <w:tc>
          <w:tcPr>
            <w:tcW w:type="dxa" w:w="3118"/>
          </w:tcPr>
          <w:p>
            <w:pPr>
              <w:jc w:val="left"/>
            </w:pPr>
            <w:r>
              <w:rPr>
                <w:sz w:val="20"/>
              </w:rPr>
              <w:t>Zamfara</w:t>
            </w:r>
          </w:p>
        </w:tc>
        <w:tc>
          <w:tcPr>
            <w:tcW w:type="dxa" w:w="3118"/>
          </w:tcPr>
          <w:p>
            <w:pPr>
              <w:jc w:val="center"/>
            </w:pPr>
            <w:r>
              <w:rPr>
                <w:sz w:val="20"/>
              </w:rPr>
              <w:t>84.0</w:t>
            </w:r>
          </w:p>
        </w:tc>
        <w:tc>
          <w:tcPr>
            <w:tcW w:type="dxa" w:w="3118"/>
          </w:tcPr>
          <w:p>
            <w:pPr>
              <w:jc w:val="center"/>
            </w:pPr>
            <w:r>
              <w:rPr>
                <w:sz w:val="20"/>
              </w:rPr>
              <w:t>67.5</w:t>
            </w:r>
          </w:p>
        </w:tc>
      </w:tr>
      <w:tr>
        <w:tc>
          <w:tcPr>
            <w:tcW w:type="dxa" w:w="3118"/>
          </w:tcPr>
          <w:p>
            <w:pPr>
              <w:jc w:val="left"/>
            </w:pPr>
            <w:r>
              <w:rPr>
                <w:sz w:val="20"/>
              </w:rPr>
              <w:t>FCT Abuja</w:t>
            </w:r>
          </w:p>
        </w:tc>
        <w:tc>
          <w:tcPr>
            <w:tcW w:type="dxa" w:w="3118"/>
          </w:tcPr>
          <w:p>
            <w:pPr>
              <w:jc w:val="center"/>
            </w:pPr>
            <w:r>
              <w:rPr>
                <w:sz w:val="20"/>
              </w:rPr>
              <w:t>53.3</w:t>
            </w:r>
          </w:p>
        </w:tc>
        <w:tc>
          <w:tcPr>
            <w:tcW w:type="dxa" w:w="3118"/>
          </w:tcPr>
          <w:p>
            <w:pPr>
              <w:jc w:val="center"/>
            </w:pPr>
            <w:r>
              <w:rPr>
                <w:sz w:val="20"/>
              </w:rPr>
              <w:t>45.5</w:t>
            </w:r>
          </w:p>
        </w:tc>
      </w:tr>
    </w:tbl>
    <w:p/>
    <w:p>
      <w:pPr>
        <w:jc w:val="left"/>
      </w:pPr>
      <w:r>
        <w:rPr>
          <w:b/>
          <w:color w:val="000080"/>
          <w:sz w:val="24"/>
        </w:rPr>
        <w:t>7. How to Interpret the Data</w:t>
      </w:r>
    </w:p>
    <w:p>
      <w:pPr>
        <w:pStyle w:val="ListBullet"/>
      </w:pPr>
      <w:r>
        <w:rPr>
          <w:sz w:val="22"/>
        </w:rPr>
        <w:t>All figures represent the absolute poverty headcount rate (%) - the proportion of the state population whose per capita expenditure falls below the absolute poverty line for that reference year.</w:t>
      </w:r>
    </w:p>
    <w:p>
      <w:pPr>
        <w:pStyle w:val="ListBullet"/>
      </w:pPr>
      <w:r>
        <w:rPr>
          <w:sz w:val="22"/>
        </w:rPr>
        <w:t>The 2003-04 figures are revised estimates, not the original published values. They incorporate the improved methodologies introduced at the time of the 2009/10 release to ensure trend comparability.</w:t>
      </w:r>
    </w:p>
    <w:p>
      <w:pPr>
        <w:pStyle w:val="ListBullet"/>
      </w:pPr>
      <w:r>
        <w:rPr>
          <w:sz w:val="22"/>
        </w:rPr>
        <w:t>A higher percentage indicates a greater share of the population living in absolute poverty. Jigawa (95.3% in 2003-04; 88.5% in 2009-10) consistently recorded the highest absolute poverty rate. Osun (37.5% in 2009-10) and Oyo (38.0% in 2003-04) recorded the lowest.</w:t>
      </w:r>
    </w:p>
    <w:p>
      <w:pPr>
        <w:pStyle w:val="ListBullet"/>
      </w:pPr>
      <w:r>
        <w:rPr>
          <w:sz w:val="22"/>
        </w:rPr>
        <w:t>FCT Abuja had an absolute poverty rate of 53.3% in 2003-04 and 45.5% in 2009-10, reflecting notable improvement.</w:t>
      </w:r>
    </w:p>
    <w:p>
      <w:pPr>
        <w:pStyle w:val="ListBullet"/>
      </w:pPr>
      <w:r>
        <w:rPr>
          <w:sz w:val="22"/>
        </w:rPr>
        <w:t>This dataset uses the absolute (objective) poverty measurement approach, which differs from the relative poverty measure that was the NBS official standard at the time. Absolute poverty is preferred for cross-country comparisons.</w:t>
      </w:r>
    </w:p>
    <w:p>
      <w:pPr>
        <w:pStyle w:val="ListBullet"/>
      </w:pPr>
      <w:r>
        <w:rPr>
          <w:sz w:val="22"/>
        </w:rPr>
        <w:t>The data should not be directly compared with post-2010 NBS poverty figures (e.g., from the 2018/19 NLSS) due to methodological differences between surveys that limit technical comparability.</w:t>
      </w:r>
    </w:p>
    <w:p/>
    <w:p>
      <w:pPr>
        <w:jc w:val="left"/>
      </w:pPr>
      <w:r>
        <w:rPr>
          <w:b/>
          <w:color w:val="000080"/>
          <w:sz w:val="24"/>
        </w:rPr>
        <w:t>8. Recommended Citation Note</w:t>
      </w:r>
    </w:p>
    <w:p>
      <w:pPr>
        <w:ind w:left="567" w:right="567"/>
      </w:pPr>
      <w:r>
        <w:rPr>
          <w:i/>
          <w:sz w:val="21"/>
        </w:rPr>
        <w:t>"This dataset presents state-level absolute poverty headcount rates for Nigeria's 36 states and the Federal Capital Territory (FCT) for two reference years: 2003-2004 (Revised) and 2009-2010. The data are sourced from the National Bureau of Statistics (NBS) abridged report "National Poverty Rates for Nigeria: 2003-04 (Revised) and 2009-10" and the Nigeria Poverty Profile 2010 Report (January 2012). The underlying household survey data were collected through the Harmonized Nigeria Living Standard Survey (HNLSS) 2009/2010 and the Nigeria Living Standard Survey (NLSS) 2003/2004. Poverty rates were computed using the Cost of Basic Needs / Absolute (Objective) Poverty approach, applying a per capita expenditure threshold against a nationally determined poverty line. The figures are disseminated via the OpenDataForAfrica portal at: https://nigeria.opendataforafrica.org/lcpafse/revised-absolute-poverty-2004-and-2010-nigeria. They should be interpreted as official NBS absolute poverty estimates and used for research, planning, and policy purposes."</w:t>
      </w:r>
    </w:p>
    <w:p/>
    <w:p>
      <w:pPr>
        <w:spacing w:after="120"/>
      </w:pPr>
      <w:r>
        <w:rPr>
          <w:b w:val="0"/>
          <w:i/>
          <w:sz w:val="19"/>
        </w:rPr>
        <w:t>Note: The OpenDataForAfrica platform (nigeria.opendataforafrica.org) is a data aggregation and dissemination portal that republishes official statistics from Nigerian government sources, including the NBS. The data on this portal are not independently generated by OpenDataForAfrica; they are drawn directly from official NBS publications and surveys.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