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F497D"/>
          <w:sz w:val="32"/>
        </w:rPr>
        <w:t>Nigeria Socioeconomic Statistics – State-Level Dataset</w:t>
      </w:r>
    </w:p>
    <w:p>
      <w:pPr>
        <w:spacing w:before="0" w:after="40"/>
        <w:jc w:val="center"/>
      </w:pPr>
      <w:r>
        <w:rPr>
          <w:b/>
          <w:color w:val="1F497D"/>
          <w:sz w:val="26"/>
        </w:rPr>
        <w:t>Source Note and Validation</w:t>
      </w:r>
    </w:p>
    <w:p>
      <w:pPr>
        <w:spacing w:before="0" w:after="280"/>
        <w:jc w:val="center"/>
      </w:pPr>
      <w:r>
        <w:rPr>
          <w:i/>
          <w:color w:val="44474C"/>
          <w:sz w:val="20"/>
        </w:rPr>
        <w:t>State-level socioeconomic indicators for all 36 states and FCT, sourced from the Nigeria Data Portal on Open Data for Africa</w:t>
      </w:r>
    </w:p>
    <w:p>
      <w:pPr>
        <w:spacing w:before="200" w:after="80"/>
      </w:pPr>
      <w:r>
        <w:rPr>
          <w:b/>
          <w:color w:val="1F497D"/>
          <w:sz w:val="24"/>
        </w:rPr>
        <w:t>1. Dataset Overview</w:t>
      </w:r>
    </w:p>
    <w:p>
      <w:pPr>
        <w:spacing w:before="0" w:after="120" w:line="260" w:lineRule="exact"/>
      </w:pPr>
      <w:r>
        <w:rPr>
          <w:sz w:val="21"/>
        </w:rPr>
        <w:t>This note explains where the data published at the URL https://nigeria.opendataforafrica.org/iynrgrf/socioeconomic-statistics came from, what official sources underpin each indicator, what reference year(s) the data represent, and how the values should be interpreted for research and analytical purposes.</w:t>
      </w:r>
    </w:p>
    <w:tbl>
      <w:tblPr>
        <w:tblStyle w:val="TableGrid"/>
        <w:tblW w:type="auto" w:w="0"/>
        <w:jc w:val="center"/>
        <w:tblLook w:firstColumn="1" w:firstRow="1" w:lastColumn="0" w:lastRow="0" w:noHBand="0" w:noVBand="1" w:val="04A0"/>
      </w:tblPr>
      <w:tblGrid>
        <w:gridCol w:w="4680"/>
        <w:gridCol w:w="4680"/>
      </w:tblGrid>
      <w:tr>
        <w:tc>
          <w:tcPr>
            <w:tcW w:type="dxa" w:w="3118"/>
          </w:tcPr>
          <w:p>
            <w:r>
              <w:rPr>
                <w:b/>
                <w:sz w:val="20"/>
              </w:rPr>
              <w:t>Field</w:t>
            </w:r>
          </w:p>
        </w:tc>
        <w:tc>
          <w:tcPr>
            <w:tcW w:type="dxa" w:w="6520"/>
          </w:tcPr>
          <w:p>
            <w:r>
              <w:rPr>
                <w:b/>
                <w:sz w:val="20"/>
              </w:rPr>
              <w:t>Value</w:t>
            </w:r>
          </w:p>
        </w:tc>
      </w:tr>
      <w:tr>
        <w:tc>
          <w:tcPr>
            <w:tcW w:type="dxa" w:w="3118"/>
          </w:tcPr>
          <w:p>
            <w:r>
              <w:rPr>
                <w:sz w:val="20"/>
              </w:rPr>
              <w:t>Dataset title</w:t>
            </w:r>
          </w:p>
        </w:tc>
        <w:tc>
          <w:tcPr>
            <w:tcW w:type="dxa" w:w="6520"/>
          </w:tcPr>
          <w:p>
            <w:r>
              <w:rPr>
                <w:sz w:val="20"/>
              </w:rPr>
              <w:t>Socioeconomic Statistics – Nigeria</w:t>
            </w:r>
          </w:p>
        </w:tc>
      </w:tr>
      <w:tr>
        <w:tc>
          <w:tcPr>
            <w:tcW w:type="dxa" w:w="3118"/>
          </w:tcPr>
          <w:p>
            <w:r>
              <w:rPr>
                <w:sz w:val="20"/>
              </w:rPr>
              <w:t>Platform</w:t>
            </w:r>
          </w:p>
        </w:tc>
        <w:tc>
          <w:tcPr>
            <w:tcW w:type="dxa" w:w="6520"/>
          </w:tcPr>
          <w:p>
            <w:r>
              <w:rPr>
                <w:sz w:val="20"/>
              </w:rPr>
              <w:t>Nigeria Data Portal on Open Data for Africa (ODA), hosted at nigeria.opendataforafrica.org</w:t>
            </w:r>
          </w:p>
        </w:tc>
      </w:tr>
      <w:tr>
        <w:tc>
          <w:tcPr>
            <w:tcW w:type="dxa" w:w="3118"/>
          </w:tcPr>
          <w:p>
            <w:r>
              <w:rPr>
                <w:sz w:val="20"/>
              </w:rPr>
              <w:t>Platform operator</w:t>
            </w:r>
          </w:p>
        </w:tc>
        <w:tc>
          <w:tcPr>
            <w:tcW w:type="dxa" w:w="6520"/>
          </w:tcPr>
          <w:p>
            <w:r>
              <w:rPr>
                <w:sz w:val="20"/>
              </w:rPr>
              <w:t>African Development Bank Group (AfDB), in partnership with the National Bureau of Statistics (NBS), Federal Republic of Nigeria</w:t>
            </w:r>
          </w:p>
        </w:tc>
      </w:tr>
      <w:tr>
        <w:tc>
          <w:tcPr>
            <w:tcW w:type="dxa" w:w="3118"/>
          </w:tcPr>
          <w:p>
            <w:r>
              <w:rPr>
                <w:sz w:val="20"/>
              </w:rPr>
              <w:t>Geographic scope</w:t>
            </w:r>
          </w:p>
        </w:tc>
        <w:tc>
          <w:tcPr>
            <w:tcW w:type="dxa" w:w="6520"/>
          </w:tcPr>
          <w:p>
            <w:r>
              <w:rPr>
                <w:sz w:val="20"/>
              </w:rPr>
              <w:t>All 36 states of Nigeria plus the Federal Capital Territory (FCT), Abuja</w:t>
            </w:r>
          </w:p>
        </w:tc>
      </w:tr>
      <w:tr>
        <w:tc>
          <w:tcPr>
            <w:tcW w:type="dxa" w:w="3118"/>
          </w:tcPr>
          <w:p>
            <w:r>
              <w:rPr>
                <w:sz w:val="20"/>
              </w:rPr>
              <w:t>Data URL</w:t>
            </w:r>
          </w:p>
        </w:tc>
        <w:tc>
          <w:tcPr>
            <w:tcW w:type="dxa" w:w="6520"/>
          </w:tcPr>
          <w:p>
            <w:r>
              <w:rPr>
                <w:sz w:val="20"/>
              </w:rPr>
              <w:t>https://nigeria.opendataforafrica.org/iynrgrf/socioeconomic-statistics</w:t>
            </w:r>
          </w:p>
        </w:tc>
      </w:tr>
      <w:tr>
        <w:tc>
          <w:tcPr>
            <w:tcW w:type="dxa" w:w="3118"/>
          </w:tcPr>
          <w:p>
            <w:r>
              <w:rPr>
                <w:sz w:val="20"/>
              </w:rPr>
              <w:t>Access</w:t>
            </w:r>
          </w:p>
        </w:tc>
        <w:tc>
          <w:tcPr>
            <w:tcW w:type="dxa" w:w="6520"/>
          </w:tcPr>
          <w:p>
            <w:r>
              <w:rPr>
                <w:sz w:val="20"/>
              </w:rPr>
              <w:t>Publicly available, free of charge, downloadable</w:t>
            </w:r>
          </w:p>
        </w:tc>
      </w:tr>
      <w:tr>
        <w:tc>
          <w:tcPr>
            <w:tcW w:type="dxa" w:w="3118"/>
          </w:tcPr>
          <w:p>
            <w:r>
              <w:rPr>
                <w:sz w:val="20"/>
              </w:rPr>
              <w:t>Primary compiler</w:t>
            </w:r>
          </w:p>
        </w:tc>
        <w:tc>
          <w:tcPr>
            <w:tcW w:type="dxa" w:w="6520"/>
          </w:tcPr>
          <w:p>
            <w:r>
              <w:rPr>
                <w:sz w:val="20"/>
              </w:rPr>
              <w:t>National Bureau of Statistics (NBS), Nigeria</w:t>
            </w:r>
          </w:p>
        </w:tc>
      </w:tr>
    </w:tbl>
    <w:p/>
    <w:p>
      <w:pPr>
        <w:spacing w:before="200" w:after="80"/>
      </w:pPr>
      <w:r>
        <w:rPr>
          <w:b/>
          <w:color w:val="1F497D"/>
          <w:sz w:val="24"/>
        </w:rPr>
        <w:t>2. Primary Data Sources</w:t>
      </w:r>
    </w:p>
    <w:p>
      <w:pPr>
        <w:spacing w:before="0" w:after="120" w:line="260" w:lineRule="exact"/>
      </w:pPr>
      <w:r>
        <w:rPr>
          <w:sz w:val="21"/>
        </w:rPr>
        <w:t>The socioeconomic statistics dataset on the Nigeria Data Portal aggregates official data compiled and published by the National Bureau of Statistics (NBS). The NBS is Nigeria's statutory custodian of all official socioeconomic and macroeconomic statistics, operating field offices in every state of the federation. The key primary sources are described below.</w:t>
      </w:r>
    </w:p>
    <w:p>
      <w:pPr>
        <w:spacing w:before="80" w:after="80" w:line="260" w:lineRule="exact"/>
      </w:pPr>
      <w:r>
        <w:rPr>
          <w:b/>
          <w:sz w:val="21"/>
        </w:rPr>
        <w:t xml:space="preserve">2006 National Population Census (NPC). </w:t>
      </w:r>
      <w:r>
        <w:rPr>
          <w:sz w:val="21"/>
        </w:rPr>
        <w:t>Conducted by the National Population Commission (NPC) in March 2006, this is the most recent comprehensive national headcount and the authoritative basis for all state-level population and demographic indicators on the platform. It provides state-level population totals, population density, sex ratios, age structure, and urban/rural distribution for all 36 states and FCT.</w:t>
      </w:r>
    </w:p>
    <w:p>
      <w:pPr>
        <w:spacing w:before="80" w:after="80" w:line="260" w:lineRule="exact"/>
      </w:pPr>
      <w:r>
        <w:rPr>
          <w:b/>
          <w:sz w:val="21"/>
        </w:rPr>
        <w:t xml:space="preserve">NBS Annual Abstract of Statistics (various editions, 2009 – 2012). </w:t>
      </w:r>
      <w:r>
        <w:rPr>
          <w:sz w:val="21"/>
        </w:rPr>
        <w:t>The NBS Annual Abstract of Statistics compiles administrative and survey-based data on education, health, employment, housing, and living standards. Indicators such as adult literacy rates, school enrolment ratios, and employment/unemployment rates at the state level are drawn from these annual compilations. The 2012 edition is the most comprehensive edition for state-disaggregated socioeconomic data available on the Open Data for Africa platform.</w:t>
      </w:r>
    </w:p>
    <w:p>
      <w:pPr>
        <w:spacing w:before="80" w:after="80" w:line="260" w:lineRule="exact"/>
      </w:pPr>
      <w:r>
        <w:rPr>
          <w:b/>
          <w:sz w:val="21"/>
        </w:rPr>
        <w:t xml:space="preserve">Nigeria Living Standard Survey (NLSS) 2003/04 and Harmonised NLSS (HNLSS) 2009/10. </w:t>
      </w:r>
      <w:r>
        <w:rPr>
          <w:sz w:val="21"/>
        </w:rPr>
        <w:t>Both household surveys were conducted by the NBS with support from the World Bank, DFID (UK), and UNICEF. They are the primary sources for state-level poverty rates (percentage of population living below the national poverty line), household income and consumption expenditure, and inequality measures (Gini coefficient). The HNLSS 2009/10 is the main source for the poverty and income variables visible on the portal.</w:t>
      </w:r>
    </w:p>
    <w:p>
      <w:pPr>
        <w:spacing w:before="80" w:after="80" w:line="260" w:lineRule="exact"/>
      </w:pPr>
      <w:r>
        <w:rPr>
          <w:b/>
          <w:sz w:val="21"/>
        </w:rPr>
        <w:t xml:space="preserve">NBS General Household Survey (GHS) 2006 – Third Edition. </w:t>
      </w:r>
      <w:r>
        <w:rPr>
          <w:sz w:val="21"/>
        </w:rPr>
        <w:t>The GHS provides household-level data including household size, asset ownership, employment status, and occupational distribution, disaggregated for all 36 states and FCT. These data are used to validate and supplement state-level labour market and living-standard indicators on the platform.</w:t>
      </w:r>
    </w:p>
    <w:p>
      <w:pPr>
        <w:spacing w:before="80" w:after="80" w:line="260" w:lineRule="exact"/>
      </w:pPr>
      <w:r>
        <w:rPr>
          <w:b/>
          <w:sz w:val="21"/>
        </w:rPr>
        <w:t xml:space="preserve">NBS Social Statistics in Nigeria (2009 and 2012 editions). </w:t>
      </w:r>
      <w:r>
        <w:rPr>
          <w:sz w:val="21"/>
        </w:rPr>
        <w:t>Published by the NBS, this compendium specifically covers health, education, housing conditions, crime, road safety, population, and household statistics at the state level. It serves as the source for literacy, enrolment, and health indicator fields in the platform dataset.</w:t>
      </w:r>
    </w:p>
    <w:p>
      <w:pPr>
        <w:spacing w:before="80" w:after="80" w:line="260" w:lineRule="exact"/>
      </w:pPr>
      <w:r>
        <w:rPr>
          <w:b/>
          <w:sz w:val="21"/>
        </w:rPr>
        <w:t xml:space="preserve">Open Data for Africa (ODA) Platform – African Development Bank. </w:t>
      </w:r>
      <w:r>
        <w:rPr>
          <w:sz w:val="21"/>
        </w:rPr>
        <w:t>The AfDB-funded ODA platform ingests, standardises, and hosts the NBS data, making it accessible via an interactive dashboard that allows state-by-state comparisons and indicator time-series downloads. The platform does not independently generate data; it re-publishes and harmonises official NBS outputs. Researchers who have cited this source in peer-reviewed journals confirm that the unemployment rate time-series (tsId=1020000) reflects official NBS figures for the period 1999–2010.</w:t>
      </w:r>
    </w:p>
    <w:p>
      <w:pPr>
        <w:spacing w:before="200" w:after="80"/>
      </w:pPr>
      <w:r>
        <w:rPr>
          <w:b/>
          <w:color w:val="1F497D"/>
          <w:sz w:val="24"/>
        </w:rPr>
        <w:t>3. Indicators Covered and Their Reference Years</w:t>
      </w:r>
    </w:p>
    <w:p>
      <w:pPr>
        <w:spacing w:before="0" w:after="120" w:line="260" w:lineRule="exact"/>
      </w:pPr>
      <w:r>
        <w:rPr>
          <w:sz w:val="21"/>
        </w:rPr>
        <w:t>The table below maps each indicator category available on the portal to its primary source and the reference year from which the data are drawn.</w:t>
      </w:r>
    </w:p>
    <w:tbl>
      <w:tblPr>
        <w:tblStyle w:val="TableGrid"/>
        <w:tblW w:type="auto" w:w="0"/>
        <w:jc w:val="center"/>
        <w:tblLook w:firstColumn="1" w:firstRow="1" w:lastColumn="0" w:lastRow="0" w:noHBand="0" w:noVBand="1" w:val="04A0"/>
      </w:tblPr>
      <w:tblGrid>
        <w:gridCol w:w="3120"/>
        <w:gridCol w:w="3120"/>
        <w:gridCol w:w="3120"/>
      </w:tblGrid>
      <w:tr>
        <w:tc>
          <w:tcPr>
            <w:tcW w:type="dxa" w:w="3288"/>
          </w:tcPr>
          <w:p>
            <w:r>
              <w:rPr>
                <w:b/>
                <w:sz w:val="19"/>
              </w:rPr>
              <w:t>Indicator / Variable</w:t>
            </w:r>
          </w:p>
        </w:tc>
        <w:tc>
          <w:tcPr>
            <w:tcW w:type="dxa" w:w="3685"/>
          </w:tcPr>
          <w:p>
            <w:r>
              <w:rPr>
                <w:b/>
                <w:sz w:val="19"/>
              </w:rPr>
              <w:t>Primary Source</w:t>
            </w:r>
          </w:p>
        </w:tc>
        <w:tc>
          <w:tcPr>
            <w:tcW w:type="dxa" w:w="2665"/>
          </w:tcPr>
          <w:p>
            <w:r>
              <w:rPr>
                <w:b/>
                <w:sz w:val="19"/>
              </w:rPr>
              <w:t>Reference Year(s)</w:t>
            </w:r>
          </w:p>
        </w:tc>
      </w:tr>
      <w:tr>
        <w:tc>
          <w:tcPr>
            <w:tcW w:type="dxa" w:w="3288"/>
          </w:tcPr>
          <w:p>
            <w:r>
              <w:rPr>
                <w:sz w:val="19"/>
              </w:rPr>
              <w:t>Total population</w:t>
            </w:r>
          </w:p>
        </w:tc>
        <w:tc>
          <w:tcPr>
            <w:tcW w:type="dxa" w:w="3685"/>
          </w:tcPr>
          <w:p>
            <w:r>
              <w:rPr>
                <w:sz w:val="19"/>
              </w:rPr>
              <w:t>2006 NPC National Census</w:t>
            </w:r>
          </w:p>
        </w:tc>
        <w:tc>
          <w:tcPr>
            <w:tcW w:type="dxa" w:w="2665"/>
          </w:tcPr>
          <w:p>
            <w:r>
              <w:rPr>
                <w:sz w:val="19"/>
              </w:rPr>
              <w:t>2006 (census year)</w:t>
            </w:r>
          </w:p>
        </w:tc>
      </w:tr>
      <w:tr>
        <w:tc>
          <w:tcPr>
            <w:tcW w:type="dxa" w:w="3288"/>
          </w:tcPr>
          <w:p>
            <w:r>
              <w:rPr>
                <w:sz w:val="19"/>
              </w:rPr>
              <w:t>Population density (per km²)</w:t>
            </w:r>
          </w:p>
        </w:tc>
        <w:tc>
          <w:tcPr>
            <w:tcW w:type="dxa" w:w="3685"/>
          </w:tcPr>
          <w:p>
            <w:r>
              <w:rPr>
                <w:sz w:val="19"/>
              </w:rPr>
              <w:t>2006 NPC National Census + state area</w:t>
            </w:r>
          </w:p>
        </w:tc>
        <w:tc>
          <w:tcPr>
            <w:tcW w:type="dxa" w:w="2665"/>
          </w:tcPr>
          <w:p>
            <w:r>
              <w:rPr>
                <w:sz w:val="19"/>
              </w:rPr>
              <w:t>2006</w:t>
            </w:r>
          </w:p>
        </w:tc>
      </w:tr>
      <w:tr>
        <w:tc>
          <w:tcPr>
            <w:tcW w:type="dxa" w:w="3288"/>
          </w:tcPr>
          <w:p>
            <w:r>
              <w:rPr>
                <w:sz w:val="19"/>
              </w:rPr>
              <w:t>Urban/rural population split</w:t>
            </w:r>
          </w:p>
        </w:tc>
        <w:tc>
          <w:tcPr>
            <w:tcW w:type="dxa" w:w="3685"/>
          </w:tcPr>
          <w:p>
            <w:r>
              <w:rPr>
                <w:sz w:val="19"/>
              </w:rPr>
              <w:t>2006 NPC National Census</w:t>
            </w:r>
          </w:p>
        </w:tc>
        <w:tc>
          <w:tcPr>
            <w:tcW w:type="dxa" w:w="2665"/>
          </w:tcPr>
          <w:p>
            <w:r>
              <w:rPr>
                <w:sz w:val="19"/>
              </w:rPr>
              <w:t>2006</w:t>
            </w:r>
          </w:p>
        </w:tc>
      </w:tr>
      <w:tr>
        <w:tc>
          <w:tcPr>
            <w:tcW w:type="dxa" w:w="3288"/>
          </w:tcPr>
          <w:p>
            <w:r>
              <w:rPr>
                <w:sz w:val="19"/>
              </w:rPr>
              <w:t>Adult literacy rate (%)</w:t>
            </w:r>
          </w:p>
        </w:tc>
        <w:tc>
          <w:tcPr>
            <w:tcW w:type="dxa" w:w="3685"/>
          </w:tcPr>
          <w:p>
            <w:r>
              <w:rPr>
                <w:sz w:val="19"/>
              </w:rPr>
              <w:t>NBS Social Statistics / Annual Abstract of Statistics</w:t>
            </w:r>
          </w:p>
        </w:tc>
        <w:tc>
          <w:tcPr>
            <w:tcW w:type="dxa" w:w="2665"/>
          </w:tcPr>
          <w:p>
            <w:r>
              <w:rPr>
                <w:sz w:val="19"/>
              </w:rPr>
              <w:t>2006–2010</w:t>
            </w:r>
          </w:p>
        </w:tc>
      </w:tr>
      <w:tr>
        <w:tc>
          <w:tcPr>
            <w:tcW w:type="dxa" w:w="3288"/>
          </w:tcPr>
          <w:p>
            <w:r>
              <w:rPr>
                <w:sz w:val="19"/>
              </w:rPr>
              <w:t>School enrolment ratio (%)</w:t>
            </w:r>
          </w:p>
        </w:tc>
        <w:tc>
          <w:tcPr>
            <w:tcW w:type="dxa" w:w="3685"/>
          </w:tcPr>
          <w:p>
            <w:r>
              <w:rPr>
                <w:sz w:val="19"/>
              </w:rPr>
              <w:t>NBS Social Statistics / Annual Abstract of Statistics</w:t>
            </w:r>
          </w:p>
        </w:tc>
        <w:tc>
          <w:tcPr>
            <w:tcW w:type="dxa" w:w="2665"/>
          </w:tcPr>
          <w:p>
            <w:r>
              <w:rPr>
                <w:sz w:val="19"/>
              </w:rPr>
              <w:t>2006–2010</w:t>
            </w:r>
          </w:p>
        </w:tc>
      </w:tr>
      <w:tr>
        <w:tc>
          <w:tcPr>
            <w:tcW w:type="dxa" w:w="3288"/>
          </w:tcPr>
          <w:p>
            <w:r>
              <w:rPr>
                <w:sz w:val="19"/>
              </w:rPr>
              <w:t>Unemployment rate (%)</w:t>
            </w:r>
          </w:p>
        </w:tc>
        <w:tc>
          <w:tcPr>
            <w:tcW w:type="dxa" w:w="3685"/>
          </w:tcPr>
          <w:p>
            <w:r>
              <w:rPr>
                <w:sz w:val="19"/>
              </w:rPr>
              <w:t>NBS Annual Abstract / HNLSS / ODA time-series (tsId=1020000)</w:t>
            </w:r>
          </w:p>
        </w:tc>
        <w:tc>
          <w:tcPr>
            <w:tcW w:type="dxa" w:w="2665"/>
          </w:tcPr>
          <w:p>
            <w:r>
              <w:rPr>
                <w:sz w:val="19"/>
              </w:rPr>
              <w:t>1999–2010</w:t>
            </w:r>
          </w:p>
        </w:tc>
      </w:tr>
      <w:tr>
        <w:tc>
          <w:tcPr>
            <w:tcW w:type="dxa" w:w="3288"/>
          </w:tcPr>
          <w:p>
            <w:r>
              <w:rPr>
                <w:sz w:val="19"/>
              </w:rPr>
              <w:t>Labour force participation rate (%)</w:t>
            </w:r>
          </w:p>
        </w:tc>
        <w:tc>
          <w:tcPr>
            <w:tcW w:type="dxa" w:w="3685"/>
          </w:tcPr>
          <w:p>
            <w:r>
              <w:rPr>
                <w:sz w:val="19"/>
              </w:rPr>
              <w:t>NBS HNLSS 2009/10 / World Development Indicators</w:t>
            </w:r>
          </w:p>
        </w:tc>
        <w:tc>
          <w:tcPr>
            <w:tcW w:type="dxa" w:w="2665"/>
          </w:tcPr>
          <w:p>
            <w:r>
              <w:rPr>
                <w:sz w:val="19"/>
              </w:rPr>
              <w:t>2009/10</w:t>
            </w:r>
          </w:p>
        </w:tc>
      </w:tr>
      <w:tr>
        <w:tc>
          <w:tcPr>
            <w:tcW w:type="dxa" w:w="3288"/>
          </w:tcPr>
          <w:p>
            <w:r>
              <w:rPr>
                <w:sz w:val="19"/>
              </w:rPr>
              <w:t>Poverty headcount rate (%)</w:t>
            </w:r>
          </w:p>
        </w:tc>
        <w:tc>
          <w:tcPr>
            <w:tcW w:type="dxa" w:w="3685"/>
          </w:tcPr>
          <w:p>
            <w:r>
              <w:rPr>
                <w:sz w:val="19"/>
              </w:rPr>
              <w:t>NBS HNLSS 2009/10 (Harmonised Nigeria Living Standard Survey)</w:t>
            </w:r>
          </w:p>
        </w:tc>
        <w:tc>
          <w:tcPr>
            <w:tcW w:type="dxa" w:w="2665"/>
          </w:tcPr>
          <w:p>
            <w:r>
              <w:rPr>
                <w:sz w:val="19"/>
              </w:rPr>
              <w:t>2009/10</w:t>
            </w:r>
          </w:p>
        </w:tc>
      </w:tr>
      <w:tr>
        <w:tc>
          <w:tcPr>
            <w:tcW w:type="dxa" w:w="3288"/>
          </w:tcPr>
          <w:p>
            <w:r>
              <w:rPr>
                <w:sz w:val="19"/>
              </w:rPr>
              <w:t>Annual average household income / consumption</w:t>
            </w:r>
          </w:p>
        </w:tc>
        <w:tc>
          <w:tcPr>
            <w:tcW w:type="dxa" w:w="3685"/>
          </w:tcPr>
          <w:p>
            <w:r>
              <w:rPr>
                <w:sz w:val="19"/>
              </w:rPr>
              <w:t>NBS HNLSS 2009/10</w:t>
            </w:r>
          </w:p>
        </w:tc>
        <w:tc>
          <w:tcPr>
            <w:tcW w:type="dxa" w:w="2665"/>
          </w:tcPr>
          <w:p>
            <w:r>
              <w:rPr>
                <w:sz w:val="19"/>
              </w:rPr>
              <w:t>2009/10</w:t>
            </w:r>
          </w:p>
        </w:tc>
      </w:tr>
      <w:tr>
        <w:tc>
          <w:tcPr>
            <w:tcW w:type="dxa" w:w="3288"/>
          </w:tcPr>
          <w:p>
            <w:r>
              <w:rPr>
                <w:sz w:val="19"/>
              </w:rPr>
              <w:t>Life expectancy at birth</w:t>
            </w:r>
          </w:p>
        </w:tc>
        <w:tc>
          <w:tcPr>
            <w:tcW w:type="dxa" w:w="3685"/>
          </w:tcPr>
          <w:p>
            <w:r>
              <w:rPr>
                <w:sz w:val="19"/>
              </w:rPr>
              <w:t>NBS Social Statistics / WHO estimates</w:t>
            </w:r>
          </w:p>
        </w:tc>
        <w:tc>
          <w:tcPr>
            <w:tcW w:type="dxa" w:w="2665"/>
          </w:tcPr>
          <w:p>
            <w:r>
              <w:rPr>
                <w:sz w:val="19"/>
              </w:rPr>
              <w:t>2008–2010</w:t>
            </w:r>
          </w:p>
        </w:tc>
      </w:tr>
      <w:tr>
        <w:tc>
          <w:tcPr>
            <w:tcW w:type="dxa" w:w="3288"/>
          </w:tcPr>
          <w:p>
            <w:r>
              <w:rPr>
                <w:sz w:val="19"/>
              </w:rPr>
              <w:t>Under-5 mortality rate</w:t>
            </w:r>
          </w:p>
        </w:tc>
        <w:tc>
          <w:tcPr>
            <w:tcW w:type="dxa" w:w="3685"/>
          </w:tcPr>
          <w:p>
            <w:r>
              <w:rPr>
                <w:sz w:val="19"/>
              </w:rPr>
              <w:t>NBS Social Statistics / NDHS</w:t>
            </w:r>
          </w:p>
        </w:tc>
        <w:tc>
          <w:tcPr>
            <w:tcW w:type="dxa" w:w="2665"/>
          </w:tcPr>
          <w:p>
            <w:r>
              <w:rPr>
                <w:sz w:val="19"/>
              </w:rPr>
              <w:t>2008–2010</w:t>
            </w:r>
          </w:p>
        </w:tc>
      </w:tr>
      <w:tr>
        <w:tc>
          <w:tcPr>
            <w:tcW w:type="dxa" w:w="3288"/>
          </w:tcPr>
          <w:p>
            <w:r>
              <w:rPr>
                <w:sz w:val="19"/>
              </w:rPr>
              <w:t>Access to safe water (%)</w:t>
            </w:r>
          </w:p>
        </w:tc>
        <w:tc>
          <w:tcPr>
            <w:tcW w:type="dxa" w:w="3685"/>
          </w:tcPr>
          <w:p>
            <w:r>
              <w:rPr>
                <w:sz w:val="19"/>
              </w:rPr>
              <w:t>NBS Social Statistics / Annual Abstract</w:t>
            </w:r>
          </w:p>
        </w:tc>
        <w:tc>
          <w:tcPr>
            <w:tcW w:type="dxa" w:w="2665"/>
          </w:tcPr>
          <w:p>
            <w:r>
              <w:rPr>
                <w:sz w:val="19"/>
              </w:rPr>
              <w:t>2006–2010</w:t>
            </w:r>
          </w:p>
        </w:tc>
      </w:tr>
      <w:tr>
        <w:tc>
          <w:tcPr>
            <w:tcW w:type="dxa" w:w="3288"/>
          </w:tcPr>
          <w:p>
            <w:r>
              <w:rPr>
                <w:sz w:val="19"/>
              </w:rPr>
              <w:t>Access to sanitation (%)</w:t>
            </w:r>
          </w:p>
        </w:tc>
        <w:tc>
          <w:tcPr>
            <w:tcW w:type="dxa" w:w="3685"/>
          </w:tcPr>
          <w:p>
            <w:r>
              <w:rPr>
                <w:sz w:val="19"/>
              </w:rPr>
              <w:t>NBS Social Statistics / Annual Abstract</w:t>
            </w:r>
          </w:p>
        </w:tc>
        <w:tc>
          <w:tcPr>
            <w:tcW w:type="dxa" w:w="2665"/>
          </w:tcPr>
          <w:p>
            <w:r>
              <w:rPr>
                <w:sz w:val="19"/>
              </w:rPr>
              <w:t>2006–2010</w:t>
            </w:r>
          </w:p>
        </w:tc>
      </w:tr>
      <w:tr>
        <w:tc>
          <w:tcPr>
            <w:tcW w:type="dxa" w:w="3288"/>
          </w:tcPr>
          <w:p>
            <w:r>
              <w:rPr>
                <w:sz w:val="19"/>
              </w:rPr>
              <w:t>GDP / GSDP estimates</w:t>
            </w:r>
          </w:p>
        </w:tc>
        <w:tc>
          <w:tcPr>
            <w:tcW w:type="dxa" w:w="3685"/>
          </w:tcPr>
          <w:p>
            <w:r>
              <w:rPr>
                <w:sz w:val="19"/>
              </w:rPr>
              <w:t>NBS State Gross Domestic Product reports</w:t>
            </w:r>
          </w:p>
        </w:tc>
        <w:tc>
          <w:tcPr>
            <w:tcW w:type="dxa" w:w="2665"/>
          </w:tcPr>
          <w:p>
            <w:r>
              <w:rPr>
                <w:sz w:val="19"/>
              </w:rPr>
              <w:t>2007–2010</w:t>
            </w:r>
          </w:p>
        </w:tc>
      </w:tr>
    </w:tbl>
    <w:p/>
    <w:p>
      <w:pPr>
        <w:spacing w:before="200" w:after="80"/>
      </w:pPr>
      <w:r>
        <w:rPr>
          <w:b/>
          <w:color w:val="1F497D"/>
          <w:sz w:val="24"/>
        </w:rPr>
        <w:t>4. Geographic Coverage – All 36 States and FCT</w:t>
      </w:r>
    </w:p>
    <w:p>
      <w:pPr>
        <w:spacing w:before="0" w:after="120" w:line="260" w:lineRule="exact"/>
      </w:pPr>
      <w:r>
        <w:rPr>
          <w:sz w:val="21"/>
        </w:rPr>
        <w:t>The dataset provides state-level values for all 37 administrative units listed below. Each row in the platform corresponds to one state or the Federal Capital Territory (FCT), Abuja. No states are excluded or proxied from other units.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409"/>
          </w:tcPr>
          <w:p>
            <w:r>
              <w:rPr>
                <w:sz w:val="19"/>
              </w:rPr>
              <w:t>Abia</w:t>
            </w:r>
          </w:p>
        </w:tc>
        <w:tc>
          <w:tcPr>
            <w:tcW w:type="dxa" w:w="2409"/>
          </w:tcPr>
          <w:p>
            <w:r>
              <w:rPr>
                <w:sz w:val="19"/>
              </w:rPr>
              <w:t>Adamawa</w:t>
            </w:r>
          </w:p>
        </w:tc>
        <w:tc>
          <w:tcPr>
            <w:tcW w:type="dxa" w:w="2409"/>
          </w:tcPr>
          <w:p>
            <w:r>
              <w:rPr>
                <w:sz w:val="19"/>
              </w:rPr>
              <w:t>Akwa Ibom</w:t>
            </w:r>
          </w:p>
        </w:tc>
        <w:tc>
          <w:tcPr>
            <w:tcW w:type="dxa" w:w="2409"/>
          </w:tcPr>
          <w:p>
            <w:r>
              <w:rPr>
                <w:sz w:val="19"/>
              </w:rPr>
              <w:t>Anambra</w:t>
            </w:r>
          </w:p>
        </w:tc>
      </w:tr>
      <w:tr>
        <w:tc>
          <w:tcPr>
            <w:tcW w:type="dxa" w:w="2409"/>
          </w:tcPr>
          <w:p>
            <w:r>
              <w:rPr>
                <w:sz w:val="19"/>
              </w:rPr>
              <w:t>Bauchi</w:t>
            </w:r>
          </w:p>
        </w:tc>
        <w:tc>
          <w:tcPr>
            <w:tcW w:type="dxa" w:w="2409"/>
          </w:tcPr>
          <w:p>
            <w:r>
              <w:rPr>
                <w:sz w:val="19"/>
              </w:rPr>
              <w:t>Bayelsa</w:t>
            </w:r>
          </w:p>
        </w:tc>
        <w:tc>
          <w:tcPr>
            <w:tcW w:type="dxa" w:w="2409"/>
          </w:tcPr>
          <w:p>
            <w:r>
              <w:rPr>
                <w:sz w:val="19"/>
              </w:rPr>
              <w:t>Benue</w:t>
            </w:r>
          </w:p>
        </w:tc>
        <w:tc>
          <w:tcPr>
            <w:tcW w:type="dxa" w:w="2409"/>
          </w:tcPr>
          <w:p>
            <w:r>
              <w:rPr>
                <w:sz w:val="19"/>
              </w:rPr>
              <w:t>Borno</w:t>
            </w:r>
          </w:p>
        </w:tc>
      </w:tr>
      <w:tr>
        <w:tc>
          <w:tcPr>
            <w:tcW w:type="dxa" w:w="2409"/>
          </w:tcPr>
          <w:p>
            <w:r>
              <w:rPr>
                <w:sz w:val="19"/>
              </w:rPr>
              <w:t>Cross River</w:t>
            </w:r>
          </w:p>
        </w:tc>
        <w:tc>
          <w:tcPr>
            <w:tcW w:type="dxa" w:w="2409"/>
          </w:tcPr>
          <w:p>
            <w:r>
              <w:rPr>
                <w:sz w:val="19"/>
              </w:rPr>
              <w:t>Delta</w:t>
            </w:r>
          </w:p>
        </w:tc>
        <w:tc>
          <w:tcPr>
            <w:tcW w:type="dxa" w:w="2409"/>
          </w:tcPr>
          <w:p>
            <w:r>
              <w:rPr>
                <w:sz w:val="19"/>
              </w:rPr>
              <w:t>Ebonyi</w:t>
            </w:r>
          </w:p>
        </w:tc>
        <w:tc>
          <w:tcPr>
            <w:tcW w:type="dxa" w:w="2409"/>
          </w:tcPr>
          <w:p>
            <w:r>
              <w:rPr>
                <w:sz w:val="19"/>
              </w:rPr>
              <w:t>Edo</w:t>
            </w:r>
          </w:p>
        </w:tc>
      </w:tr>
      <w:tr>
        <w:tc>
          <w:tcPr>
            <w:tcW w:type="dxa" w:w="2409"/>
          </w:tcPr>
          <w:p>
            <w:r>
              <w:rPr>
                <w:sz w:val="19"/>
              </w:rPr>
              <w:t>Ekiti</w:t>
            </w:r>
          </w:p>
        </w:tc>
        <w:tc>
          <w:tcPr>
            <w:tcW w:type="dxa" w:w="2409"/>
          </w:tcPr>
          <w:p>
            <w:r>
              <w:rPr>
                <w:sz w:val="19"/>
              </w:rPr>
              <w:t>Enugu</w:t>
            </w:r>
          </w:p>
        </w:tc>
        <w:tc>
          <w:tcPr>
            <w:tcW w:type="dxa" w:w="2409"/>
          </w:tcPr>
          <w:p>
            <w:r>
              <w:rPr>
                <w:sz w:val="19"/>
              </w:rPr>
              <w:t>Gombe</w:t>
            </w:r>
          </w:p>
        </w:tc>
        <w:tc>
          <w:tcPr>
            <w:tcW w:type="dxa" w:w="2409"/>
          </w:tcPr>
          <w:p>
            <w:r>
              <w:rPr>
                <w:sz w:val="19"/>
              </w:rPr>
              <w:t>Imo</w:t>
            </w:r>
          </w:p>
        </w:tc>
      </w:tr>
      <w:tr>
        <w:tc>
          <w:tcPr>
            <w:tcW w:type="dxa" w:w="2409"/>
          </w:tcPr>
          <w:p>
            <w:r>
              <w:rPr>
                <w:sz w:val="19"/>
              </w:rPr>
              <w:t>Jigawa</w:t>
            </w:r>
          </w:p>
        </w:tc>
        <w:tc>
          <w:tcPr>
            <w:tcW w:type="dxa" w:w="2409"/>
          </w:tcPr>
          <w:p>
            <w:r>
              <w:rPr>
                <w:sz w:val="19"/>
              </w:rPr>
              <w:t>Kaduna</w:t>
            </w:r>
          </w:p>
        </w:tc>
        <w:tc>
          <w:tcPr>
            <w:tcW w:type="dxa" w:w="2409"/>
          </w:tcPr>
          <w:p>
            <w:r>
              <w:rPr>
                <w:sz w:val="19"/>
              </w:rPr>
              <w:t>Kano</w:t>
            </w:r>
          </w:p>
        </w:tc>
        <w:tc>
          <w:tcPr>
            <w:tcW w:type="dxa" w:w="2409"/>
          </w:tcPr>
          <w:p>
            <w:r>
              <w:rPr>
                <w:sz w:val="19"/>
              </w:rPr>
              <w:t>Katsina</w:t>
            </w:r>
          </w:p>
        </w:tc>
      </w:tr>
      <w:tr>
        <w:tc>
          <w:tcPr>
            <w:tcW w:type="dxa" w:w="2409"/>
          </w:tcPr>
          <w:p>
            <w:r>
              <w:rPr>
                <w:sz w:val="19"/>
              </w:rPr>
              <w:t>Kebbi</w:t>
            </w:r>
          </w:p>
        </w:tc>
        <w:tc>
          <w:tcPr>
            <w:tcW w:type="dxa" w:w="2409"/>
          </w:tcPr>
          <w:p>
            <w:r>
              <w:rPr>
                <w:sz w:val="19"/>
              </w:rPr>
              <w:t>Kogi</w:t>
            </w:r>
          </w:p>
        </w:tc>
        <w:tc>
          <w:tcPr>
            <w:tcW w:type="dxa" w:w="2409"/>
          </w:tcPr>
          <w:p>
            <w:r>
              <w:rPr>
                <w:sz w:val="19"/>
              </w:rPr>
              <w:t>Kwara</w:t>
            </w:r>
          </w:p>
        </w:tc>
        <w:tc>
          <w:tcPr>
            <w:tcW w:type="dxa" w:w="2409"/>
          </w:tcPr>
          <w:p>
            <w:r>
              <w:rPr>
                <w:sz w:val="19"/>
              </w:rPr>
              <w:t>Lagos</w:t>
            </w:r>
          </w:p>
        </w:tc>
      </w:tr>
      <w:tr>
        <w:tc>
          <w:tcPr>
            <w:tcW w:type="dxa" w:w="2409"/>
          </w:tcPr>
          <w:p>
            <w:r>
              <w:rPr>
                <w:sz w:val="19"/>
              </w:rPr>
              <w:t>Nasarawa</w:t>
            </w:r>
          </w:p>
        </w:tc>
        <w:tc>
          <w:tcPr>
            <w:tcW w:type="dxa" w:w="2409"/>
          </w:tcPr>
          <w:p>
            <w:r>
              <w:rPr>
                <w:sz w:val="19"/>
              </w:rPr>
              <w:t>Niger</w:t>
            </w:r>
          </w:p>
        </w:tc>
        <w:tc>
          <w:tcPr>
            <w:tcW w:type="dxa" w:w="2409"/>
          </w:tcPr>
          <w:p>
            <w:r>
              <w:rPr>
                <w:sz w:val="19"/>
              </w:rPr>
              <w:t>Ogun</w:t>
            </w:r>
          </w:p>
        </w:tc>
        <w:tc>
          <w:tcPr>
            <w:tcW w:type="dxa" w:w="2409"/>
          </w:tcPr>
          <w:p>
            <w:r>
              <w:rPr>
                <w:sz w:val="19"/>
              </w:rPr>
              <w:t>Ondo</w:t>
            </w:r>
          </w:p>
        </w:tc>
      </w:tr>
      <w:tr>
        <w:tc>
          <w:tcPr>
            <w:tcW w:type="dxa" w:w="2409"/>
          </w:tcPr>
          <w:p>
            <w:r>
              <w:rPr>
                <w:sz w:val="19"/>
              </w:rPr>
              <w:t>Osun</w:t>
            </w:r>
          </w:p>
        </w:tc>
        <w:tc>
          <w:tcPr>
            <w:tcW w:type="dxa" w:w="2409"/>
          </w:tcPr>
          <w:p>
            <w:r>
              <w:rPr>
                <w:sz w:val="19"/>
              </w:rPr>
              <w:t>Oyo</w:t>
            </w:r>
          </w:p>
        </w:tc>
        <w:tc>
          <w:tcPr>
            <w:tcW w:type="dxa" w:w="2409"/>
          </w:tcPr>
          <w:p>
            <w:r>
              <w:rPr>
                <w:sz w:val="19"/>
              </w:rPr>
              <w:t>Plateau</w:t>
            </w:r>
          </w:p>
        </w:tc>
        <w:tc>
          <w:tcPr>
            <w:tcW w:type="dxa" w:w="2409"/>
          </w:tcPr>
          <w:p>
            <w:r>
              <w:rPr>
                <w:sz w:val="19"/>
              </w:rPr>
              <w:t>Rivers</w:t>
            </w:r>
          </w:p>
        </w:tc>
      </w:tr>
      <w:tr>
        <w:tc>
          <w:tcPr>
            <w:tcW w:type="dxa" w:w="2409"/>
          </w:tcPr>
          <w:p>
            <w:r>
              <w:rPr>
                <w:sz w:val="19"/>
              </w:rPr>
              <w:t>Sokoto</w:t>
            </w:r>
          </w:p>
        </w:tc>
        <w:tc>
          <w:tcPr>
            <w:tcW w:type="dxa" w:w="2409"/>
          </w:tcPr>
          <w:p>
            <w:r>
              <w:rPr>
                <w:sz w:val="19"/>
              </w:rPr>
              <w:t>Taraba</w:t>
            </w:r>
          </w:p>
        </w:tc>
        <w:tc>
          <w:tcPr>
            <w:tcW w:type="dxa" w:w="2409"/>
          </w:tcPr>
          <w:p>
            <w:r>
              <w:rPr>
                <w:sz w:val="19"/>
              </w:rPr>
              <w:t>Yobe</w:t>
            </w:r>
          </w:p>
        </w:tc>
        <w:tc>
          <w:tcPr>
            <w:tcW w:type="dxa" w:w="2409"/>
          </w:tcPr>
          <w:p>
            <w:r>
              <w:rPr>
                <w:sz w:val="19"/>
              </w:rPr>
              <w:t>Zamfara</w:t>
            </w:r>
          </w:p>
        </w:tc>
      </w:tr>
      <w:tr>
        <w:tc>
          <w:tcPr>
            <w:tcW w:type="dxa" w:w="2409"/>
          </w:tcPr>
          <w:p>
            <w:r>
              <w:rPr>
                <w:b/>
                <w:sz w:val="19"/>
              </w:rPr>
              <w:t>FCT (Abuja)</w:t>
            </w:r>
          </w:p>
        </w:tc>
        <w:tc>
          <w:tcPr>
            <w:tcW w:type="dxa" w:w="2409"/>
          </w:tcPr>
          <w:p>
            <w:r>
              <w:rPr>
                <w:sz w:val="19"/>
              </w:rPr>
            </w:r>
          </w:p>
        </w:tc>
        <w:tc>
          <w:tcPr>
            <w:tcW w:type="dxa" w:w="2409"/>
          </w:tcPr>
          <w:p>
            <w:r>
              <w:rPr>
                <w:sz w:val="19"/>
              </w:rPr>
            </w:r>
          </w:p>
        </w:tc>
        <w:tc>
          <w:tcPr>
            <w:tcW w:type="dxa" w:w="2409"/>
          </w:tcPr>
          <w:p>
            <w:r>
              <w:rPr>
                <w:sz w:val="19"/>
              </w:rPr>
            </w:r>
          </w:p>
        </w:tc>
      </w:tr>
    </w:tbl>
    <w:p/>
    <w:p>
      <w:pPr>
        <w:spacing w:before="200" w:after="80"/>
      </w:pPr>
      <w:r>
        <w:rPr>
          <w:b/>
          <w:color w:val="1F497D"/>
          <w:sz w:val="24"/>
        </w:rPr>
        <w:t>5. How the Data Were Obtained and Validated</w:t>
      </w:r>
    </w:p>
    <w:p>
      <w:pPr>
        <w:spacing w:before="80" w:after="80" w:line="260" w:lineRule="exact"/>
      </w:pPr>
      <w:r>
        <w:rPr>
          <w:b/>
          <w:sz w:val="21"/>
        </w:rPr>
        <w:t xml:space="preserve">Step 1 – NBS primary collection. </w:t>
      </w:r>
      <w:r>
        <w:rPr>
          <w:sz w:val="21"/>
        </w:rPr>
        <w:t>The NBS conducts household surveys, population censuses (in partnership with the NPC), administrative data collection from government ministries and agencies, and annual statistical compilations. Field offices in every state ensure sub-national data coverage.</w:t>
      </w:r>
    </w:p>
    <w:p>
      <w:pPr>
        <w:spacing w:before="80" w:after="80" w:line="260" w:lineRule="exact"/>
      </w:pPr>
      <w:r>
        <w:rPr>
          <w:b/>
          <w:sz w:val="21"/>
        </w:rPr>
        <w:t xml:space="preserve">Step 2 – NBS publication. </w:t>
      </w:r>
      <w:r>
        <w:rPr>
          <w:sz w:val="21"/>
        </w:rPr>
        <w:t>The collected and validated data are published in official NBS reports including the Annual Abstract of Statistics, Social Statistics in Nigeria, the Poverty Profile reports, and HNLSS final reports. These are publicly available on the NBS e-library at nigerianstat.gov.ng/elibrary.</w:t>
      </w:r>
    </w:p>
    <w:p>
      <w:pPr>
        <w:spacing w:before="80" w:after="80" w:line="260" w:lineRule="exact"/>
      </w:pPr>
      <w:r>
        <w:rPr>
          <w:b/>
          <w:sz w:val="21"/>
        </w:rPr>
        <w:t xml:space="preserve">Step 3 – AfDB / ODA ingestion. </w:t>
      </w:r>
      <w:r>
        <w:rPr>
          <w:sz w:val="21"/>
        </w:rPr>
        <w:t>The African Development Bank's Open Data for Africa platform ingests these published NBS datasets, standardises units and variable names, and loads them into the Nigeria Data Portal (nigeria.opendataforafrica.org). The platform applies no additional transformation beyond harmonisation of formats; the underlying values remain those published by the NBS.</w:t>
      </w:r>
    </w:p>
    <w:p>
      <w:pPr>
        <w:spacing w:before="80" w:after="80" w:line="260" w:lineRule="exact"/>
      </w:pPr>
      <w:r>
        <w:rPr>
          <w:b/>
          <w:sz w:val="21"/>
        </w:rPr>
        <w:t xml:space="preserve">Step 4 – Online access and download. </w:t>
      </w:r>
      <w:r>
        <w:rPr>
          <w:sz w:val="21"/>
        </w:rPr>
        <w:t>Users access the portal at https://nigeria.opendataforafrica.org/iynrgrf/socioeconomic-statistics. Individual indicator time-series can be filtered by state, downloaded as spreadsheets, or accessed programmatically via time-series identifiers (e.g., tsId=1020000 for unemployment rate). The platform allows state-by-state comparison and chart visualisation.</w:t>
      </w:r>
    </w:p>
    <w:p>
      <w:pPr>
        <w:spacing w:before="80" w:after="80" w:line="260" w:lineRule="exact"/>
      </w:pPr>
      <w:r>
        <w:rPr>
          <w:b/>
          <w:sz w:val="21"/>
        </w:rPr>
        <w:t xml:space="preserve">Step 5 – Independent academic validation. </w:t>
      </w:r>
      <w:r>
        <w:rPr>
          <w:sz w:val="21"/>
        </w:rPr>
        <w:t>Multiple peer-reviewed studies have cited and used this dataset, confirming its correspondence with NBS official figures. For example, Obi et al. (2021) in the International Journal of Research in Engineering, IT and Social Sciences used the unemployment rate time-series from this portal to estimate state-level labour market figures and confirmed alignment with NBS national statistics.</w:t>
      </w:r>
    </w:p>
    <w:p>
      <w:pPr>
        <w:spacing w:before="200" w:after="80"/>
      </w:pPr>
      <w:r>
        <w:rPr>
          <w:b/>
          <w:color w:val="1F497D"/>
          <w:sz w:val="24"/>
        </w:rPr>
        <w:t>6. Data Year Summary</w:t>
      </w:r>
    </w:p>
    <w:p>
      <w:pPr>
        <w:spacing w:before="0" w:after="120" w:line="260" w:lineRule="exact"/>
      </w:pPr>
      <w:r>
        <w:rPr>
          <w:sz w:val="21"/>
        </w:rPr>
        <w:t>The socioeconomic statistics on the portal do not all originate from a single year. Different indicator groups carry different reference years reflecting the timing of the underlying official surveys and censuses:</w:t>
      </w:r>
    </w:p>
    <w:p>
      <w:pPr>
        <w:pStyle w:val="ListBullet"/>
        <w:spacing w:before="0" w:after="60" w:line="260" w:lineRule="exact"/>
      </w:pPr>
      <w:r>
        <w:rPr>
          <w:sz w:val="21"/>
        </w:rPr>
        <w:t>2006 – All population-based indicators (total population, population density, urban/rural split) derive from the 2006 National Population Census conducted by the National Population Commission (NPC).</w:t>
      </w:r>
    </w:p>
    <w:p>
      <w:pPr>
        <w:pStyle w:val="ListBullet"/>
        <w:spacing w:before="0" w:after="60" w:line="260" w:lineRule="exact"/>
      </w:pPr>
      <w:r>
        <w:rPr>
          <w:sz w:val="21"/>
        </w:rPr>
        <w:t>2009/10 – Poverty, income, and consumption indicators are drawn from the Harmonised Nigeria Living Standard Survey (HNLSS) 2009/10, the most recent NBS household welfare survey available at the time of the platform's primary data load.</w:t>
      </w:r>
    </w:p>
    <w:p>
      <w:pPr>
        <w:pStyle w:val="ListBullet"/>
        <w:spacing w:before="0" w:after="60" w:line="260" w:lineRule="exact"/>
      </w:pPr>
      <w:r>
        <w:rPr>
          <w:sz w:val="21"/>
        </w:rPr>
        <w:t>1999–2010 – The unemployment rate time-series (accessible via tsId=1020000) covers annual figures from 1999 to 2010, sourced from NBS Annual Abstract editions and the ODA historical series.</w:t>
      </w:r>
    </w:p>
    <w:p>
      <w:pPr>
        <w:pStyle w:val="ListBullet"/>
        <w:spacing w:before="0" w:after="60" w:line="260" w:lineRule="exact"/>
      </w:pPr>
      <w:r>
        <w:rPr>
          <w:sz w:val="21"/>
        </w:rPr>
        <w:t>2006–2010 – Education indicators (literacy rates, enrolment ratios) and health indicators are drawn from NBS Social Statistics in Nigeria editions spanning 2006 to 2010, with most state-level values reflecting the 2009–2010 period.</w:t>
      </w:r>
    </w:p>
    <w:p>
      <w:pPr>
        <w:pStyle w:val="ListBullet"/>
        <w:spacing w:before="0" w:after="60" w:line="260" w:lineRule="exact"/>
      </w:pPr>
      <w:r>
        <w:rPr>
          <w:sz w:val="21"/>
        </w:rPr>
        <w:t>Note: The platform reflects data as published in the NBS e-library up to approximately 2012. Users requiring more recent state-level figures should supplement with NBS publications from 2016 onwards, including the Nigeria Multidimensional Poverty Index (MPI) Survey 2021/22.</w:t>
      </w:r>
    </w:p>
    <w:p/>
    <w:p>
      <w:pPr>
        <w:spacing w:before="200" w:after="80"/>
      </w:pPr>
      <w:r>
        <w:rPr>
          <w:b/>
          <w:color w:val="1F497D"/>
          <w:sz w:val="24"/>
        </w:rPr>
        <w:t>7. Official Source Links</w:t>
      </w:r>
    </w:p>
    <w:p>
      <w:pPr>
        <w:spacing w:before="20" w:after="40" w:line="260" w:lineRule="exact"/>
        <w:ind w:left="283"/>
      </w:pPr>
      <w:r>
        <w:rPr>
          <w:sz w:val="20"/>
        </w:rPr>
        <w:t xml:space="preserve">• Nigeria Data Portal – Socioeconomic Statistics (Open Data for Africa): </w:t>
      </w:r>
      <w:r>
        <w:rPr>
          <w:color w:val="0056A6"/>
          <w:sz w:val="20"/>
        </w:rPr>
        <w:t>https://nigeria.opendataforafrica.org/iynrgrf/socioeconomic-statistics</w:t>
      </w:r>
    </w:p>
    <w:p>
      <w:pPr>
        <w:spacing w:before="20" w:after="40" w:line="260" w:lineRule="exact"/>
        <w:ind w:left="283"/>
      </w:pPr>
      <w:r>
        <w:rPr>
          <w:sz w:val="20"/>
        </w:rPr>
        <w:t xml:space="preserve">• National Bureau of Statistics (NBS) – e-Library (reports and datasets): </w:t>
      </w:r>
      <w:r>
        <w:rPr>
          <w:color w:val="0056A6"/>
          <w:sz w:val="20"/>
        </w:rPr>
        <w:t>https://nigerianstat.gov.ng/elibrary</w:t>
      </w:r>
    </w:p>
    <w:p>
      <w:pPr>
        <w:spacing w:before="20" w:after="40" w:line="260" w:lineRule="exact"/>
        <w:ind w:left="283"/>
      </w:pPr>
      <w:r>
        <w:rPr>
          <w:sz w:val="20"/>
        </w:rPr>
        <w:t xml:space="preserve">• NBS Annual Abstract of Statistics 2012: </w:t>
      </w:r>
      <w:r>
        <w:rPr>
          <w:color w:val="0056A6"/>
          <w:sz w:val="20"/>
        </w:rPr>
        <w:t>https://nigerianstat.gov.ng/elibrary (search: Annual Abstract of Statistics)</w:t>
      </w:r>
    </w:p>
    <w:p>
      <w:pPr>
        <w:spacing w:before="20" w:after="40" w:line="260" w:lineRule="exact"/>
        <w:ind w:left="283"/>
      </w:pPr>
      <w:r>
        <w:rPr>
          <w:sz w:val="20"/>
        </w:rPr>
        <w:t xml:space="preserve">• NBS Social Statistics in Nigeria 2009 / 2012: </w:t>
      </w:r>
      <w:r>
        <w:rPr>
          <w:color w:val="0056A6"/>
          <w:sz w:val="20"/>
        </w:rPr>
        <w:t>https://nairametrics.com/wp-content/uploads/2013/03/Social-Statistics-in-Nigeria-by-NBS.pdf</w:t>
      </w:r>
    </w:p>
    <w:p>
      <w:pPr>
        <w:spacing w:before="20" w:after="40" w:line="260" w:lineRule="exact"/>
        <w:ind w:left="283"/>
      </w:pPr>
      <w:r>
        <w:rPr>
          <w:sz w:val="20"/>
        </w:rPr>
        <w:t xml:space="preserve">• NBS Nigeria Poverty Profile 2010 (HNLSS-based): </w:t>
      </w:r>
      <w:r>
        <w:rPr>
          <w:color w:val="0056A6"/>
          <w:sz w:val="20"/>
        </w:rPr>
        <w:t>https://www.nigerianstat.gov.ng/pdfuploads/Nigeria%20Poverty%20Profile%202010.pdf</w:t>
      </w:r>
    </w:p>
    <w:p>
      <w:pPr>
        <w:spacing w:before="20" w:after="40" w:line="260" w:lineRule="exact"/>
        <w:ind w:left="283"/>
      </w:pPr>
      <w:r>
        <w:rPr>
          <w:sz w:val="20"/>
        </w:rPr>
        <w:t xml:space="preserve">• Open Data for Africa – Nigeria Portal (home): </w:t>
      </w:r>
      <w:r>
        <w:rPr>
          <w:color w:val="0056A6"/>
          <w:sz w:val="20"/>
        </w:rPr>
        <w:t>https://nigeria.opendataforafrica.org/</w:t>
      </w:r>
    </w:p>
    <w:p>
      <w:pPr>
        <w:spacing w:before="20" w:after="40" w:line="260" w:lineRule="exact"/>
        <w:ind w:left="283"/>
      </w:pPr>
      <w:r>
        <w:rPr>
          <w:sz w:val="20"/>
        </w:rPr>
        <w:t xml:space="preserve">• AfDB Open Data for Africa platform description (DataPortals.org): </w:t>
      </w:r>
      <w:r>
        <w:rPr>
          <w:color w:val="0056A6"/>
          <w:sz w:val="20"/>
        </w:rPr>
        <w:t>https://dataportals.org/portal/nigeria_opendataforafrica/</w:t>
      </w:r>
    </w:p>
    <w:p>
      <w:pPr>
        <w:spacing w:before="20" w:after="40" w:line="260" w:lineRule="exact"/>
        <w:ind w:left="283"/>
      </w:pPr>
      <w:r>
        <w:rPr>
          <w:sz w:val="20"/>
        </w:rPr>
        <w:t xml:space="preserve">• NBS Microdata Library – General Household Survey 2006: </w:t>
      </w:r>
      <w:r>
        <w:rPr>
          <w:color w:val="0056A6"/>
          <w:sz w:val="20"/>
        </w:rPr>
        <w:t>https://microdata.nigerianstat.gov.ng/index.php/catalog/22</w:t>
      </w:r>
    </w:p>
    <w:p/>
    <w:p>
      <w:pPr>
        <w:spacing w:before="200" w:after="80"/>
      </w:pPr>
      <w:r>
        <w:rPr>
          <w:b/>
          <w:color w:val="1F497D"/>
          <w:sz w:val="24"/>
        </w:rPr>
        <w:t>8. Recommended Citation Note</w:t>
      </w:r>
    </w:p>
    <w:p>
      <w:pPr>
        <w:spacing w:before="120" w:after="120" w:line="280" w:lineRule="exact"/>
        <w:ind w:left="567" w:right="567"/>
      </w:pPr>
      <w:r>
        <w:rPr>
          <w:i/>
          <w:sz w:val="20"/>
        </w:rPr>
        <w:t>"This dataset presents state-level socioeconomic statistics for all 36 states and FCT of Nigeria, as published on the Nigeria Data Portal (Open Data for Africa), hosted by the African Development Bank (AfDB) at nigeria.opendataforafrica.org/iynrgrf/socioeconomic-statistics. The underlying data are compiled by the National Bureau of Statistics (NBS) of Nigeria from official sources including the 2006 National Population Census (NPC), the Harmonised Nigeria Living Standard Survey (HNLSS) 2009/10, and NBS Annual Abstract of Statistics / Social Statistics in Nigeria editions (2009–2012). Population indicators reflect the 2006 census; poverty and income indicators reflect 2009/10 survey data; unemployment and education indicators cover approximately 1999–2010. The dataset should be used as a research-grade proxy for the reference periods stated and supplemented with more recent NBS publications where current data are required."</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07070"/>
        <w:sz w:val="16"/>
      </w:rPr>
      <w:t>Prepared by: Olaiya Olayinka  |  Date: May 2026  |  Source: Nigeria Data Portal (Open Data for Africa) / NBS Nigeria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