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474A4F"/>
          </w:tcPr>
          <w:p>
            <w:pPr>
              <w:jc w:val="center"/>
            </w:pPr>
            <w:r/>
            <w:r>
              <w:rPr>
                <w:rFonts w:ascii="Tw Cen MT" w:hAnsi="Tw Cen MT" w:eastAsia="Tw Cen MT"/>
                <w:b/>
                <w:color w:val="FFD300"/>
                <w:sz w:val="32"/>
              </w:rPr>
              <w:t>COMMERCIAL OFF-TAKER DATA VALIDATION STATEMENT</w:t>
            </w:r>
          </w:p>
        </w:tc>
      </w:tr>
    </w:tbl>
    <w:p>
      <w:pPr>
        <w:jc w:val="center"/>
      </w:pPr>
      <w:r>
        <w:rPr>
          <w:rFonts w:ascii="Tw Cen MT" w:hAnsi="Tw Cen MT" w:eastAsia="Tw Cen MT"/>
          <w:b/>
          <w:sz w:val="22"/>
        </w:rPr>
        <w:t>Dataset: Commercial Off-taker Readiness / Market Demand Index for Nigeria's 36 States and FCT</w:t>
      </w:r>
    </w:p>
    <w:tbl>
      <w:tblPr>
        <w:tblStyle w:val="TableGrid"/>
        <w:tblW w:type="auto" w:w="0"/>
        <w:jc w:val="center"/>
        <w:tblLook w:firstColumn="1" w:firstRow="1" w:lastColumn="0" w:lastRow="0" w:noHBand="0" w:noVBand="1" w:val="04A0"/>
      </w:tblPr>
      <w:tblGrid>
        <w:gridCol w:w="4896"/>
        <w:gridCol w:w="4896"/>
      </w:tblGrid>
      <w:tr>
        <w:tc>
          <w:tcPr>
            <w:tcW w:type="dxa" w:w="4896"/>
            <w:shd w:fill="474A4F"/>
          </w:tcPr>
          <w:p>
            <w:r/>
            <w:r>
              <w:rPr>
                <w:rFonts w:ascii="Tw Cen MT" w:hAnsi="Tw Cen MT" w:eastAsia="Tw Cen MT"/>
                <w:b/>
                <w:color w:val="FFFFFF"/>
                <w:sz w:val="20"/>
              </w:rPr>
              <w:t>Validation Item</w:t>
            </w:r>
          </w:p>
        </w:tc>
        <w:tc>
          <w:tcPr>
            <w:tcW w:type="dxa" w:w="4896"/>
            <w:shd w:fill="474A4F"/>
          </w:tcPr>
          <w:p>
            <w:r/>
            <w:r>
              <w:rPr>
                <w:rFonts w:ascii="Tw Cen MT" w:hAnsi="Tw Cen MT" w:eastAsia="Tw Cen MT"/>
                <w:b/>
                <w:color w:val="FFFFFF"/>
                <w:sz w:val="20"/>
              </w:rPr>
              <w:t>Result</w:t>
            </w:r>
          </w:p>
        </w:tc>
      </w:tr>
      <w:tr>
        <w:tc>
          <w:tcPr>
            <w:tcW w:type="dxa" w:w="4896"/>
            <w:vAlign w:val="center"/>
          </w:tcPr>
          <w:p>
            <w:r/>
            <w:r>
              <w:rPr>
                <w:rFonts w:ascii="Tw Cen MT" w:hAnsi="Tw Cen MT" w:eastAsia="Tw Cen MT"/>
                <w:b/>
                <w:sz w:val="20"/>
              </w:rPr>
              <w:t>Number of records</w:t>
            </w:r>
          </w:p>
        </w:tc>
        <w:tc>
          <w:tcPr>
            <w:tcW w:type="dxa" w:w="4896"/>
            <w:vAlign w:val="center"/>
          </w:tcPr>
          <w:p>
            <w:r/>
            <w:r>
              <w:rPr>
                <w:rFonts w:ascii="Tw Cen MT" w:hAnsi="Tw Cen MT" w:eastAsia="Tw Cen MT"/>
                <w:b w:val="0"/>
                <w:sz w:val="20"/>
              </w:rPr>
              <w:t>37</w:t>
            </w:r>
          </w:p>
        </w:tc>
      </w:tr>
      <w:tr>
        <w:tc>
          <w:tcPr>
            <w:tcW w:type="dxa" w:w="4896"/>
            <w:vAlign w:val="center"/>
          </w:tcPr>
          <w:p>
            <w:r/>
            <w:r>
              <w:rPr>
                <w:rFonts w:ascii="Tw Cen MT" w:hAnsi="Tw Cen MT" w:eastAsia="Tw Cen MT"/>
                <w:b/>
                <w:sz w:val="20"/>
              </w:rPr>
              <w:t>Scale</w:t>
            </w:r>
          </w:p>
        </w:tc>
        <w:tc>
          <w:tcPr>
            <w:tcW w:type="dxa" w:w="4896"/>
            <w:vAlign w:val="center"/>
          </w:tcPr>
          <w:p>
            <w:r/>
            <w:r>
              <w:rPr>
                <w:rFonts w:ascii="Tw Cen MT" w:hAnsi="Tw Cen MT" w:eastAsia="Tw Cen MT"/>
                <w:b w:val="0"/>
                <w:sz w:val="20"/>
              </w:rPr>
              <w:t>0.00 to 1.00 normalized index</w:t>
            </w:r>
          </w:p>
        </w:tc>
      </w:tr>
      <w:tr>
        <w:tc>
          <w:tcPr>
            <w:tcW w:type="dxa" w:w="4896"/>
            <w:vAlign w:val="center"/>
          </w:tcPr>
          <w:p>
            <w:r/>
            <w:r>
              <w:rPr>
                <w:rFonts w:ascii="Tw Cen MT" w:hAnsi="Tw Cen MT" w:eastAsia="Tw Cen MT"/>
                <w:b/>
                <w:sz w:val="20"/>
              </w:rPr>
              <w:t>Minimum score</w:t>
            </w:r>
          </w:p>
        </w:tc>
        <w:tc>
          <w:tcPr>
            <w:tcW w:type="dxa" w:w="4896"/>
            <w:vAlign w:val="center"/>
          </w:tcPr>
          <w:p>
            <w:r/>
            <w:r>
              <w:rPr>
                <w:rFonts w:ascii="Tw Cen MT" w:hAnsi="Tw Cen MT" w:eastAsia="Tw Cen MT"/>
                <w:b w:val="0"/>
                <w:sz w:val="20"/>
              </w:rPr>
              <w:t>0.00</w:t>
            </w:r>
          </w:p>
        </w:tc>
      </w:tr>
      <w:tr>
        <w:tc>
          <w:tcPr>
            <w:tcW w:type="dxa" w:w="4896"/>
            <w:vAlign w:val="center"/>
          </w:tcPr>
          <w:p>
            <w:r/>
            <w:r>
              <w:rPr>
                <w:rFonts w:ascii="Tw Cen MT" w:hAnsi="Tw Cen MT" w:eastAsia="Tw Cen MT"/>
                <w:b/>
                <w:sz w:val="20"/>
              </w:rPr>
              <w:t>Maximum score</w:t>
            </w:r>
          </w:p>
        </w:tc>
        <w:tc>
          <w:tcPr>
            <w:tcW w:type="dxa" w:w="4896"/>
            <w:vAlign w:val="center"/>
          </w:tcPr>
          <w:p>
            <w:r/>
            <w:r>
              <w:rPr>
                <w:rFonts w:ascii="Tw Cen MT" w:hAnsi="Tw Cen MT" w:eastAsia="Tw Cen MT"/>
                <w:b w:val="0"/>
                <w:sz w:val="20"/>
              </w:rPr>
              <w:t>1.00</w:t>
            </w:r>
          </w:p>
        </w:tc>
      </w:tr>
      <w:tr>
        <w:tc>
          <w:tcPr>
            <w:tcW w:type="dxa" w:w="4896"/>
            <w:vAlign w:val="center"/>
          </w:tcPr>
          <w:p>
            <w:r/>
            <w:r>
              <w:rPr>
                <w:rFonts w:ascii="Tw Cen MT" w:hAnsi="Tw Cen MT" w:eastAsia="Tw Cen MT"/>
                <w:b/>
                <w:sz w:val="20"/>
              </w:rPr>
              <w:t>Average score</w:t>
            </w:r>
          </w:p>
        </w:tc>
        <w:tc>
          <w:tcPr>
            <w:tcW w:type="dxa" w:w="4896"/>
            <w:vAlign w:val="center"/>
          </w:tcPr>
          <w:p>
            <w:r/>
            <w:r>
              <w:rPr>
                <w:rFonts w:ascii="Tw Cen MT" w:hAnsi="Tw Cen MT" w:eastAsia="Tw Cen MT"/>
                <w:b w:val="0"/>
                <w:sz w:val="20"/>
              </w:rPr>
              <w:t>0.36</w:t>
            </w:r>
          </w:p>
        </w:tc>
      </w:tr>
      <w:tr>
        <w:tc>
          <w:tcPr>
            <w:tcW w:type="dxa" w:w="4896"/>
            <w:vAlign w:val="center"/>
          </w:tcPr>
          <w:p>
            <w:r/>
            <w:r>
              <w:rPr>
                <w:rFonts w:ascii="Tw Cen MT" w:hAnsi="Tw Cen MT" w:eastAsia="Tw Cen MT"/>
                <w:b/>
                <w:sz w:val="20"/>
              </w:rPr>
              <w:t>Validation status</w:t>
            </w:r>
          </w:p>
        </w:tc>
        <w:tc>
          <w:tcPr>
            <w:tcW w:type="dxa" w:w="4896"/>
            <w:vAlign w:val="center"/>
          </w:tcPr>
          <w:p>
            <w:r/>
            <w:r>
              <w:rPr>
                <w:rFonts w:ascii="Tw Cen MT" w:hAnsi="Tw Cen MT" w:eastAsia="Tw Cen MT"/>
                <w:b w:val="0"/>
                <w:sz w:val="20"/>
              </w:rPr>
              <w:t>Suitable for ranking/comparison; not a direct metered consumption figure</w:t>
            </w:r>
          </w:p>
        </w:tc>
      </w:tr>
    </w:tbl>
    <w:p>
      <w:r>
        <w:rPr>
          <w:rFonts w:ascii="Tw Cen MT" w:hAnsi="Tw Cen MT" w:eastAsia="Tw Cen MT"/>
          <w:b/>
          <w:color w:val="474A4F"/>
          <w:sz w:val="26"/>
        </w:rPr>
        <w:t>1. Validation Statement</w:t>
      </w:r>
    </w:p>
    <w:p>
      <w:r>
        <w:rPr>
          <w:rFonts w:ascii="Tw Cen MT" w:hAnsi="Tw Cen MT" w:eastAsia="Tw Cen MT"/>
          <w:sz w:val="21"/>
        </w:rPr>
        <w:t>The commercial off-taker dataset was validated as a normalized market-demand index designed to compare the relative strength of commercial electricity demand across Nigeria's 36 states and the FCT. The figures range from 0.00 to 1.00, where higher values represent stronger commercial off-taker potential and lower values represent weaker relative demand. The data should be used for prioritization, ranking, and investment-readiness screening, not as direct electricity consumption measured in MWh or customer-count records.</w:t>
      </w:r>
    </w:p>
    <w:p>
      <w:r>
        <w:rPr>
          <w:rFonts w:ascii="Tw Cen MT" w:hAnsi="Tw Cen MT" w:eastAsia="Tw Cen MT"/>
          <w:b/>
          <w:color w:val="474A4F"/>
          <w:sz w:val="26"/>
        </w:rPr>
        <w:t>2. How the Data Was Collected</w:t>
      </w:r>
    </w:p>
    <w:p>
      <w:r>
        <w:rPr>
          <w:rFonts w:ascii="Tw Cen MT" w:hAnsi="Tw Cen MT" w:eastAsia="Tw Cen MT"/>
          <w:sz w:val="21"/>
        </w:rPr>
        <w:t>The data was compiled through desk-based secondary research and proxy scoring. Commercial off-taker potential was assessed using electricity market performance indicators, state economic activity, commercial/industrial concentration, business demand signals, and off-grid/mini-grid market references. Each indicator was cleaned, compared across states, and converted to a 0-1 normalized score. The final commercial off-taker score represents a composite view of likely demand from SMEs, markets, offices, commercial clusters, service businesses, and industrial users that can pay for reliable power.</w:t>
      </w:r>
    </w:p>
    <w:p>
      <w:r>
        <w:rPr>
          <w:rFonts w:ascii="Tw Cen MT" w:hAnsi="Tw Cen MT" w:eastAsia="Tw Cen MT"/>
          <w:b/>
          <w:color w:val="474A4F"/>
          <w:sz w:val="26"/>
        </w:rPr>
        <w:t>3. Key Validation Checks Applied</w:t>
      </w:r>
    </w:p>
    <w:p>
      <w:pPr>
        <w:spacing w:line="360" w:lineRule="auto"/>
        <w:ind w:left="288"/>
      </w:pPr>
      <w:r>
        <w:rPr>
          <w:rFonts w:ascii="Tw Cen MT" w:hAnsi="Tw Cen MT" w:eastAsia="Tw Cen MT"/>
          <w:sz w:val="21"/>
        </w:rPr>
        <w:t>• Completeness check: 37 records were confirmed, covering 36 states and the FCT.</w:t>
      </w:r>
    </w:p>
    <w:p>
      <w:pPr>
        <w:spacing w:line="360" w:lineRule="auto"/>
        <w:ind w:left="288"/>
      </w:pPr>
      <w:r>
        <w:rPr>
          <w:rFonts w:ascii="Tw Cen MT" w:hAnsi="Tw Cen MT" w:eastAsia="Tw Cen MT"/>
          <w:sz w:val="21"/>
        </w:rPr>
        <w:t>• Range check: all values fall within the expected normalized 0.00-1.00 scale.</w:t>
      </w:r>
    </w:p>
    <w:p>
      <w:pPr>
        <w:spacing w:line="360" w:lineRule="auto"/>
        <w:ind w:left="288"/>
      </w:pPr>
      <w:r>
        <w:rPr>
          <w:rFonts w:ascii="Tw Cen MT" w:hAnsi="Tw Cen MT" w:eastAsia="Tw Cen MT"/>
          <w:sz w:val="21"/>
        </w:rPr>
        <w:t>• Outlier check: the 1.00 value was treated as the benchmark/highest commercial off-taker potential; 0.00 was treated as the lowest relative score.</w:t>
      </w:r>
    </w:p>
    <w:p>
      <w:pPr>
        <w:spacing w:line="360" w:lineRule="auto"/>
        <w:ind w:left="288"/>
      </w:pPr>
      <w:r>
        <w:rPr>
          <w:rFonts w:ascii="Tw Cen MT" w:hAnsi="Tw Cen MT" w:eastAsia="Tw Cen MT"/>
          <w:sz w:val="21"/>
        </w:rPr>
        <w:t>• Reasonableness check: higher scores are expected for states with stronger economic activity, commercial clusters, larger electricity demand, and better payment potential.</w:t>
      </w:r>
    </w:p>
    <w:p>
      <w:pPr>
        <w:spacing w:line="360" w:lineRule="auto"/>
        <w:ind w:left="288"/>
      </w:pPr>
      <w:r>
        <w:rPr>
          <w:rFonts w:ascii="Tw Cen MT" w:hAnsi="Tw Cen MT" w:eastAsia="Tw Cen MT"/>
          <w:sz w:val="21"/>
        </w:rPr>
        <w:t>• Use-case check: the dataset is valid for comparative scoring, solar deployment prioritization, and commercial market screening.</w:t>
      </w:r>
    </w:p>
    <w:p>
      <w:r>
        <w:rPr>
          <w:rFonts w:ascii="Tw Cen MT" w:hAnsi="Tw Cen MT" w:eastAsia="Tw Cen MT"/>
          <w:b/>
          <w:color w:val="474A4F"/>
          <w:sz w:val="26"/>
        </w:rPr>
        <w:t>4. Data Sources Used</w:t>
      </w:r>
    </w:p>
    <w:p>
      <w:r>
        <w:rPr>
          <w:rFonts w:ascii="Tw Cen MT" w:hAnsi="Tw Cen MT" w:eastAsia="Tw Cen MT"/>
          <w:sz w:val="21"/>
        </w:rPr>
        <w:t>The validation was based on the following source categories and official/reference links:</w:t>
      </w:r>
    </w:p>
    <w:p>
      <w:pPr>
        <w:spacing w:line="300" w:lineRule="auto"/>
        <w:ind w:left="288"/>
      </w:pPr>
      <w:r>
        <w:rPr>
          <w:rFonts w:ascii="Tw Cen MT" w:hAnsi="Tw Cen MT" w:eastAsia="Tw Cen MT"/>
          <w:sz w:val="21"/>
        </w:rPr>
        <w:t xml:space="preserve">• Nigerian Electricity Regulatory Commission (NERC) - Quarterly/Annual Reports: </w:t>
      </w:r>
      <w:hyperlink r:id="rId9">
        <w:r>
          <w:rPr>
            <w:rFonts w:ascii="Tw Cen MT" w:hAnsi="Tw Cen MT"/>
            <w:color w:val="0563C1"/>
            <w:u w:val="single"/>
          </w:rPr>
          <w:t>https://nerc.gov.ng/</w:t>
        </w:r>
      </w:hyperlink>
    </w:p>
    <w:p>
      <w:pPr>
        <w:spacing w:line="300" w:lineRule="auto"/>
        <w:ind w:left="288"/>
      </w:pPr>
      <w:r>
        <w:rPr>
          <w:rFonts w:ascii="Tw Cen MT" w:hAnsi="Tw Cen MT" w:eastAsia="Tw Cen MT"/>
          <w:sz w:val="21"/>
        </w:rPr>
        <w:t xml:space="preserve">• NERC Q2 2025 NESI Report: </w:t>
      </w:r>
      <w:hyperlink r:id="rId10">
        <w:r>
          <w:rPr>
            <w:rFonts w:ascii="Tw Cen MT" w:hAnsi="Tw Cen MT"/>
            <w:color w:val="0563C1"/>
            <w:u w:val="single"/>
          </w:rPr>
          <w:t>https://nerc.gov.ng/wp-content/uploads/2025/10/2025_Q2-Report.pdf</w:t>
        </w:r>
      </w:hyperlink>
    </w:p>
    <w:p>
      <w:pPr>
        <w:spacing w:line="300" w:lineRule="auto"/>
        <w:ind w:left="288"/>
      </w:pPr>
      <w:r>
        <w:rPr>
          <w:rFonts w:ascii="Tw Cen MT" w:hAnsi="Tw Cen MT" w:eastAsia="Tw Cen MT"/>
          <w:sz w:val="21"/>
        </w:rPr>
        <w:t xml:space="preserve">• National Bureau of Statistics (NBS) - Economic and state-level statistical releases: </w:t>
      </w:r>
      <w:hyperlink r:id="rId11">
        <w:r>
          <w:rPr>
            <w:rFonts w:ascii="Tw Cen MT" w:hAnsi="Tw Cen MT"/>
            <w:color w:val="0563C1"/>
            <w:u w:val="single"/>
          </w:rPr>
          <w:t>https://www.nigerianstat.gov.ng/</w:t>
        </w:r>
      </w:hyperlink>
    </w:p>
    <w:p>
      <w:pPr>
        <w:spacing w:line="300" w:lineRule="auto"/>
        <w:ind w:left="288"/>
      </w:pPr>
      <w:r>
        <w:rPr>
          <w:rFonts w:ascii="Tw Cen MT" w:hAnsi="Tw Cen MT" w:eastAsia="Tw Cen MT"/>
          <w:sz w:val="21"/>
        </w:rPr>
        <w:t xml:space="preserve">• Rural Electrification Agency / Nigeria Electrification Project - Mini-grid Market Study: </w:t>
      </w:r>
      <w:hyperlink r:id="rId12">
        <w:r>
          <w:rPr>
            <w:rFonts w:ascii="Tw Cen MT" w:hAnsi="Tw Cen MT"/>
            <w:color w:val="0563C1"/>
            <w:u w:val="single"/>
          </w:rPr>
          <w:t>https://nep.rea.gov.ng/assets/documents/resource-hub/Market-Study-to-Support-the-Nigeria-Electrification-Project.pdf</w:t>
        </w:r>
      </w:hyperlink>
    </w:p>
    <w:p>
      <w:pPr>
        <w:spacing w:line="300" w:lineRule="auto"/>
        <w:ind w:left="288"/>
      </w:pPr>
      <w:r>
        <w:rPr>
          <w:rFonts w:ascii="Tw Cen MT" w:hAnsi="Tw Cen MT" w:eastAsia="Tw Cen MT"/>
          <w:sz w:val="21"/>
        </w:rPr>
        <w:t xml:space="preserve">• Global Off-Grid Lighting Association / Rural Electrification Market Report Nigeria 2024: </w:t>
      </w:r>
      <w:hyperlink r:id="rId13">
        <w:r>
          <w:rPr>
            <w:rFonts w:ascii="Tw Cen MT" w:hAnsi="Tw Cen MT"/>
            <w:color w:val="0563C1"/>
            <w:u w:val="single"/>
          </w:rPr>
          <w:t>https://www.ruralelec.org/wp-content/uploads/2024/07/GT081-Horizontal-Report-D7-DRE-Market-Report-Nigeria-Final-v3-designed.pdf</w:t>
        </w:r>
      </w:hyperlink>
    </w:p>
    <w:p>
      <w:r>
        <w:rPr>
          <w:rFonts w:ascii="Tw Cen MT" w:hAnsi="Tw Cen MT" w:eastAsia="Tw Cen MT"/>
          <w:b/>
          <w:color w:val="474A4F"/>
          <w:sz w:val="26"/>
        </w:rPr>
        <w:t>5. Limitation</w:t>
      </w:r>
    </w:p>
    <w:p>
      <w:r>
        <w:rPr>
          <w:rFonts w:ascii="Tw Cen MT" w:hAnsi="Tw Cen MT" w:eastAsia="Tw Cen MT"/>
          <w:sz w:val="21"/>
        </w:rPr>
        <w:t>The dataset is model-derived and should be interpreted as a relative commercial off-taker index. It does not replace audited customer-level billing data, metered energy consumption records, or state-by-state commercial customer registers. For project financing, it should be supported with field verification, customer surveys, tariff willingness-to-pay checks, and anchor-customer confirmation.</w:t>
      </w:r>
    </w:p>
    <w:p>
      <w:r>
        <w:rPr>
          <w:rFonts w:ascii="Tw Cen MT" w:hAnsi="Tw Cen MT" w:eastAsia="Tw Cen MT"/>
          <w:b/>
          <w:color w:val="474A4F"/>
          <w:sz w:val="26"/>
        </w:rPr>
        <w:t>6. Final Validation Conclusion</w:t>
      </w:r>
    </w:p>
    <w:p>
      <w:r>
        <w:rPr>
          <w:rFonts w:ascii="Tw Cen MT" w:hAnsi="Tw Cen MT" w:eastAsia="Tw Cen MT"/>
          <w:sz w:val="21"/>
        </w:rPr>
        <w:t>Based on the range, completeness, source triangulation, and normalization checks, the commercial off-taker dataset is valid for preliminary renewable-energy planning, state prioritization, and market-readiness analysis. It is recommended for strategic screening and ranking, while final deployment decisions should include site-level due diligence.</w:t>
      </w:r>
    </w:p>
    <w:sectPr w:rsidR="00FC693F" w:rsidRPr="0006063C" w:rsidSect="00034616">
      <w:footerReference w:type="default" r:id="rId14"/>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w Cen MT" w:hAnsi="Tw Cen MT" w:eastAsia="Tw Cen MT"/>
        <w:color w:val="646464"/>
        <w:sz w:val="16"/>
      </w:rPr>
      <w:t>Prepared as a commercial off-taker data validation statement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w Cen MT" w:hAnsi="Tw Cen MT" w:eastAsia="Tw Cen M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w Cen MT" w:hAnsi="Tw Cen MT" w:eastAsia="Tw Cen M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w Cen MT" w:hAnsi="Tw Cen MT" w:eastAsia="Tw Cen M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w Cen MT" w:hAnsi="Tw Cen MT" w:eastAsia="Tw Cen M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rc.gov.ng/" TargetMode="External"/><Relationship Id="rId10" Type="http://schemas.openxmlformats.org/officeDocument/2006/relationships/hyperlink" Target="https://nerc.gov.ng/wp-content/uploads/2025/10/2025_Q2-Report.pdf" TargetMode="External"/><Relationship Id="rId11" Type="http://schemas.openxmlformats.org/officeDocument/2006/relationships/hyperlink" Target="https://www.nigerianstat.gov.ng/" TargetMode="External"/><Relationship Id="rId12" Type="http://schemas.openxmlformats.org/officeDocument/2006/relationships/hyperlink" Target="https://nep.rea.gov.ng/assets/documents/resource-hub/Market-Study-to-Support-the-Nigeria-Electrification-Project.pdf" TargetMode="External"/><Relationship Id="rId13" Type="http://schemas.openxmlformats.org/officeDocument/2006/relationships/hyperlink" Target="https://www.ruralelec.org/wp-content/uploads/2024/07/GT081-Horizontal-Report-D7-DRE-Market-Report-Nigeria-Final-v3-designed.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