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rFonts w:ascii="Calibri" w:hAnsi="Calibri"/>
          <w:b/>
          <w:i w:val="0"/>
          <w:color w:val="1F497D"/>
          <w:sz w:val="30"/>
        </w:rPr>
        <w:t>Household Expenditure by State in Nigeria</w:t>
      </w:r>
    </w:p>
    <w:p>
      <w:pPr>
        <w:spacing w:after="240"/>
        <w:jc w:val="center"/>
      </w:pPr>
      <w:r>
        <w:rPr>
          <w:rFonts w:ascii="Calibri" w:hAnsi="Calibri"/>
          <w:b/>
          <w:i w:val="0"/>
          <w:color w:val="1F497D"/>
          <w:sz w:val="26"/>
        </w:rPr>
        <w:t>Source Note and Validation</w:t>
      </w:r>
    </w:p>
    <w:p>
      <w:pPr>
        <w:spacing w:after="280"/>
        <w:jc w:val="center"/>
      </w:pPr>
      <w:r>
        <w:rPr>
          <w:rFonts w:ascii="Calibri" w:hAnsi="Calibri"/>
          <w:b w:val="0"/>
          <w:i/>
          <w:color w:val="595959"/>
          <w:sz w:val="22"/>
        </w:rPr>
        <w:t>Nigeria state-level household expenditure data derived from official NBS survey data (Reference year: 2012)</w:t>
      </w:r>
    </w:p>
    <w:p>
      <w:pPr>
        <w:spacing w:before="0" w:after="160"/>
        <w:pBdr>
          <w:bottom w:val="single" w:sz="6" w:space="1" w:color="1F497D"/>
        </w:pBdr>
      </w:pPr>
    </w:p>
    <w:p>
      <w:pPr>
        <w:spacing w:before="240" w:after="80"/>
      </w:pPr>
      <w:r>
        <w:rPr>
          <w:rFonts w:ascii="Calibri" w:hAnsi="Calibri"/>
          <w:b/>
          <w:i w:val="0"/>
          <w:color w:val="1F497D"/>
          <w:sz w:val="26"/>
        </w:rPr>
        <w:t>1.  Purpose of This Note</w:t>
      </w:r>
    </w:p>
    <w:p>
      <w:pPr>
        <w:spacing w:after="120" w:before="40"/>
      </w:pPr>
      <w:r>
        <w:rPr>
          <w:rFonts w:ascii="Calibri" w:hAnsi="Calibri"/>
          <w:b w:val="0"/>
          <w:i w:val="0"/>
          <w:sz w:val="22"/>
        </w:rPr>
        <w:t>This note explains where the household expenditure data for all 36 states of Nigeria and the Federal Capital Territory (FCT), Abuja, came from, the exact official sources used, the reference year to which the data relate, and how the state-level expenditure figures were derived and compiled. It is intended to serve as a transparent audit trail for any analytical workbook, model, or research report that draws on the dataset hosted at:</w:t>
      </w:r>
    </w:p>
    <w:p>
      <w:pPr>
        <w:spacing w:after="120" w:before="40"/>
      </w:pPr>
      <w:r>
        <w:rPr>
          <w:rFonts w:ascii="Calibri" w:hAnsi="Calibri"/>
          <w:b w:val="0"/>
          <w:i/>
          <w:sz w:val="20"/>
        </w:rPr>
        <w:t>https://nigeria.opendataforafrica.org/sqjpqy/household-expenditure-by-state-in-nigeria-2012</w:t>
      </w:r>
    </w:p>
    <w:p>
      <w:pPr>
        <w:spacing w:before="240" w:after="80"/>
      </w:pPr>
      <w:r>
        <w:rPr>
          <w:rFonts w:ascii="Calibri" w:hAnsi="Calibri"/>
          <w:b/>
          <w:i w:val="0"/>
          <w:color w:val="1F497D"/>
          <w:sz w:val="26"/>
        </w:rPr>
        <w:t>2.  Official Source Links</w:t>
      </w:r>
    </w:p>
    <w:p>
      <w:pPr>
        <w:pStyle w:val="ListBullet"/>
        <w:spacing w:after="60"/>
      </w:pPr>
      <w:r>
        <w:rPr>
          <w:rFonts w:ascii="Calibri" w:hAnsi="Calibri"/>
          <w:b/>
          <w:i w:val="0"/>
          <w:color w:val="1F497D"/>
          <w:sz w:val="22"/>
        </w:rPr>
        <w:t xml:space="preserve">Primary data producer: </w:t>
      </w:r>
      <w:r>
        <w:rPr>
          <w:rFonts w:ascii="Calibri" w:hAnsi="Calibri"/>
          <w:b w:val="0"/>
          <w:i w:val="0"/>
          <w:sz w:val="22"/>
        </w:rPr>
        <w:t>National Bureau of Statistics (NBS), Federal Republic of Nigeria – www.nigerianstat.gov.ng</w:t>
      </w:r>
    </w:p>
    <w:p>
      <w:pPr>
        <w:pStyle w:val="ListBullet"/>
        <w:spacing w:after="60"/>
      </w:pPr>
      <w:r>
        <w:rPr>
          <w:rFonts w:ascii="Calibri" w:hAnsi="Calibri"/>
          <w:b/>
          <w:i w:val="0"/>
          <w:color w:val="1F497D"/>
          <w:sz w:val="22"/>
        </w:rPr>
        <w:t xml:space="preserve">Survey microdata (World Bank LSMS repository): </w:t>
      </w:r>
      <w:r>
        <w:rPr>
          <w:rFonts w:ascii="Calibri" w:hAnsi="Calibri"/>
          <w:b w:val="0"/>
          <w:i w:val="0"/>
          <w:sz w:val="22"/>
        </w:rPr>
        <w:t>Nigeria General Household Survey, Panel 2012–2013, Wave 2 (Ref. NGA_2012_GHSP-W2_v02_M): http://go.worldbank.org/BY4SLL0380</w:t>
      </w:r>
    </w:p>
    <w:p>
      <w:pPr>
        <w:pStyle w:val="ListBullet"/>
        <w:spacing w:after="60"/>
      </w:pPr>
      <w:r>
        <w:rPr>
          <w:rFonts w:ascii="Calibri" w:hAnsi="Calibri"/>
          <w:b/>
          <w:i w:val="0"/>
          <w:color w:val="1F497D"/>
          <w:sz w:val="22"/>
        </w:rPr>
        <w:t xml:space="preserve">Survey microdata (FAO repository): </w:t>
      </w:r>
      <w:r>
        <w:rPr>
          <w:rFonts w:ascii="Calibri" w:hAnsi="Calibri"/>
          <w:b w:val="0"/>
          <w:i w:val="0"/>
          <w:sz w:val="22"/>
        </w:rPr>
        <w:t>Nigeria General Household Survey, Panel 2012–2013 (Ref. NGA_2012-2013_GHS-W2): https://microdata.fao.org/index.php/catalog/1365</w:t>
      </w:r>
    </w:p>
    <w:p>
      <w:pPr>
        <w:pStyle w:val="ListBullet"/>
        <w:spacing w:after="60"/>
      </w:pPr>
      <w:r>
        <w:rPr>
          <w:rFonts w:ascii="Calibri" w:hAnsi="Calibri"/>
          <w:b/>
          <w:i w:val="0"/>
          <w:color w:val="1F497D"/>
          <w:sz w:val="22"/>
        </w:rPr>
        <w:t xml:space="preserve">NBS elibrary (Wave 2 report): </w:t>
      </w:r>
      <w:r>
        <w:rPr>
          <w:rFonts w:ascii="Calibri" w:hAnsi="Calibri"/>
          <w:b w:val="0"/>
          <w:i w:val="0"/>
          <w:sz w:val="22"/>
        </w:rPr>
        <w:t>General Household Survey (Panel) 2012/2013 Wave 2 Report: https://www.nigerianstat.gov.ng/elibrary/read/388</w:t>
      </w:r>
    </w:p>
    <w:p>
      <w:pPr>
        <w:pStyle w:val="ListBullet"/>
        <w:spacing w:after="60"/>
      </w:pPr>
      <w:r>
        <w:rPr>
          <w:rFonts w:ascii="Calibri" w:hAnsi="Calibri"/>
          <w:b/>
          <w:i w:val="0"/>
          <w:color w:val="1F497D"/>
          <w:sz w:val="22"/>
        </w:rPr>
        <w:t xml:space="preserve">Dissemination portal: </w:t>
      </w:r>
      <w:r>
        <w:rPr>
          <w:rFonts w:ascii="Calibri" w:hAnsi="Calibri"/>
          <w:b w:val="0"/>
          <w:i w:val="0"/>
          <w:sz w:val="22"/>
        </w:rPr>
        <w:t>Open Data for Africa – Nigeria Node: https://nigeria.opendataforafrica.org/sqjpqy/household-expenditure-by-state-in-nigeria-2012</w:t>
      </w:r>
    </w:p>
    <w:p>
      <w:pPr>
        <w:pStyle w:val="ListBullet"/>
        <w:spacing w:after="60"/>
      </w:pPr>
      <w:r>
        <w:rPr>
          <w:rFonts w:ascii="Calibri" w:hAnsi="Calibri"/>
          <w:b/>
          <w:i w:val="0"/>
          <w:color w:val="1F497D"/>
          <w:sz w:val="22"/>
        </w:rPr>
        <w:t xml:space="preserve">Methodology reference: </w:t>
      </w:r>
      <w:r>
        <w:rPr>
          <w:rFonts w:ascii="Calibri" w:hAnsi="Calibri"/>
          <w:b w:val="0"/>
          <w:i w:val="0"/>
          <w:sz w:val="22"/>
        </w:rPr>
        <w:t>NBS Harmonized National Living Standard Survey (HNLSS) Documentation, 2010/GDP Rebasing Notes: https://www.nigerianstat.gov.ng/pdfuploads/Harmonized%20Documentatation%20Surveys%20Sources%20and%20Methodology_1.pdf</w:t>
      </w:r>
    </w:p>
    <w:p>
      <w:pPr>
        <w:spacing w:before="240" w:after="80"/>
      </w:pPr>
      <w:r>
        <w:rPr>
          <w:rFonts w:ascii="Calibri" w:hAnsi="Calibri"/>
          <w:b/>
          <w:i w:val="0"/>
          <w:color w:val="1F497D"/>
          <w:sz w:val="26"/>
        </w:rPr>
        <w:t>3.  Data Origin and Reference Year</w:t>
      </w:r>
    </w:p>
    <w:p>
      <w:pPr>
        <w:spacing w:after="120" w:before="40"/>
      </w:pPr>
      <w:r>
        <w:rPr>
          <w:rFonts w:ascii="Calibri" w:hAnsi="Calibri"/>
          <w:b w:val="0"/>
          <w:i w:val="0"/>
          <w:sz w:val="22"/>
        </w:rPr>
        <w:t>The household expenditure figures presented in the dataset are referenced to the calendar year 2012. The underlying fieldwork was carried out by the National Bureau of Statistics (NBS) under the Nigeria General Household Survey – Panel (GHS-Panel), Wave 2, whose data-collection period spanned two rounds:</w:t>
      </w:r>
    </w:p>
    <w:p>
      <w:pPr>
        <w:pStyle w:val="ListBullet"/>
        <w:spacing w:after="60"/>
      </w:pPr>
      <w:r>
        <w:rPr>
          <w:rFonts w:ascii="Calibri" w:hAnsi="Calibri"/>
          <w:b/>
          <w:i w:val="0"/>
          <w:color w:val="1F497D"/>
          <w:sz w:val="22"/>
        </w:rPr>
        <w:t xml:space="preserve">Post-Planting Round: </w:t>
      </w:r>
      <w:r>
        <w:rPr>
          <w:rFonts w:ascii="Calibri" w:hAnsi="Calibri"/>
          <w:b w:val="0"/>
          <w:i w:val="0"/>
          <w:sz w:val="22"/>
        </w:rPr>
        <w:t>September – November 2012</w:t>
      </w:r>
    </w:p>
    <w:p>
      <w:pPr>
        <w:pStyle w:val="ListBullet"/>
        <w:spacing w:after="60"/>
      </w:pPr>
      <w:r>
        <w:rPr>
          <w:rFonts w:ascii="Calibri" w:hAnsi="Calibri"/>
          <w:b/>
          <w:i w:val="0"/>
          <w:color w:val="1F497D"/>
          <w:sz w:val="22"/>
        </w:rPr>
        <w:t xml:space="preserve">Post-Harvest Round: </w:t>
      </w:r>
      <w:r>
        <w:rPr>
          <w:rFonts w:ascii="Calibri" w:hAnsi="Calibri"/>
          <w:b w:val="0"/>
          <w:i w:val="0"/>
          <w:sz w:val="22"/>
        </w:rPr>
        <w:t>February – April 2013</w:t>
      </w:r>
    </w:p>
    <w:p>
      <w:pPr>
        <w:spacing w:after="120" w:before="40"/>
      </w:pPr>
      <w:r>
        <w:rPr>
          <w:rFonts w:ascii="Calibri" w:hAnsi="Calibri"/>
          <w:b w:val="0"/>
          <w:i w:val="0"/>
          <w:sz w:val="22"/>
        </w:rPr>
        <w:t>Both rounds together constitute the Wave 2 survey cycle commonly referenced as the '2012–2013 GHS-Panel'. The expenditure aggregates extracted for the Open Data for Africa portal carry the reference year 2012 because the post-planting round—which anchors the annual household expenditure window—was conducted in that year. The survey was also complemented by the 2010 Harmonized National Living Standard Survey (HNLSS), which provided the consumption expenditure framework and methodology underpinning state-level estimates across all 36 states and the FCT.</w:t>
      </w:r>
    </w:p>
    <w:p>
      <w:pPr>
        <w:spacing w:before="240" w:after="80"/>
      </w:pPr>
      <w:r>
        <w:rPr>
          <w:rFonts w:ascii="Calibri" w:hAnsi="Calibri"/>
          <w:b/>
          <w:i w:val="0"/>
          <w:color w:val="1F497D"/>
          <w:sz w:val="26"/>
        </w:rPr>
        <w:t>4.  Geographic Coverage</w:t>
      </w:r>
    </w:p>
    <w:p>
      <w:pPr>
        <w:spacing w:after="120" w:before="40"/>
      </w:pPr>
      <w:r>
        <w:rPr>
          <w:rFonts w:ascii="Calibri" w:hAnsi="Calibri"/>
          <w:b w:val="0"/>
          <w:i w:val="0"/>
          <w:sz w:val="22"/>
        </w:rPr>
        <w:t>The GHS-Panel Wave 2 sample frame explicitly includes all 36 states of the Nigerian federation and the Federal Capital Territory (FCT), Abuja. The Enumeration Areas (EAs) used as primary sampling units were drawn from the full national frame demarcated by the National Population Commission (NPopC) for the 2006 Housing and Population Census. The selection of EAs at the first stage was carried out using Probability Proportional to Size (PPS) of the total EAs in each state and the FCT. This means that all 37 administrative units (36 states + FCT) are represented in the sampling frame and the resulting expenditure estimates.</w:t>
      </w:r>
    </w:p>
    <w:p>
      <w:pPr>
        <w:spacing w:before="240" w:after="80"/>
      </w:pPr>
      <w:r>
        <w:rPr>
          <w:rFonts w:ascii="Calibri" w:hAnsi="Calibri"/>
          <w:b/>
          <w:i w:val="0"/>
          <w:color w:val="1F497D"/>
          <w:sz w:val="26"/>
        </w:rPr>
        <w:t>5.  Survey Design and Sampling Methodology</w:t>
      </w:r>
    </w:p>
    <w:p>
      <w:pPr>
        <w:spacing w:after="120" w:before="40"/>
      </w:pPr>
      <w:r>
        <w:rPr>
          <w:rFonts w:ascii="Calibri" w:hAnsi="Calibri"/>
          <w:b w:val="0"/>
          <w:i w:val="0"/>
          <w:sz w:val="22"/>
        </w:rPr>
        <w:t>The GHS-Panel employed a two-stage stratified probability sample designed to be representative at the national and geopolitical-zone levels:</w:t>
      </w:r>
    </w:p>
    <w:p>
      <w:pPr>
        <w:pStyle w:val="ListBullet"/>
        <w:spacing w:after="60"/>
      </w:pPr>
      <w:r>
        <w:rPr>
          <w:rFonts w:ascii="Calibri" w:hAnsi="Calibri"/>
          <w:b/>
          <w:i w:val="0"/>
          <w:color w:val="1F497D"/>
          <w:sz w:val="22"/>
        </w:rPr>
        <w:t xml:space="preserve">Stage 1 – Primary Sampling Units (PSUs): </w:t>
      </w:r>
      <w:r>
        <w:rPr>
          <w:rFonts w:ascii="Calibri" w:hAnsi="Calibri"/>
          <w:b w:val="0"/>
          <w:i w:val="0"/>
          <w:sz w:val="22"/>
        </w:rPr>
        <w:t>Enumeration Areas (EAs) were selected using Probability Proportional to Size (PPS) of the total EAs in each state and the FCT, Abuja. A total of 500 EAs were selected across the country.</w:t>
      </w:r>
    </w:p>
    <w:p>
      <w:pPr>
        <w:pStyle w:val="ListBullet"/>
        <w:spacing w:after="60"/>
      </w:pPr>
      <w:r>
        <w:rPr>
          <w:rFonts w:ascii="Calibri" w:hAnsi="Calibri"/>
          <w:b/>
          <w:i w:val="0"/>
          <w:color w:val="1F497D"/>
          <w:sz w:val="22"/>
        </w:rPr>
        <w:t xml:space="preserve">Stage 2 – Households: </w:t>
      </w:r>
      <w:r>
        <w:rPr>
          <w:rFonts w:ascii="Calibri" w:hAnsi="Calibri"/>
          <w:b w:val="0"/>
          <w:i w:val="0"/>
          <w:sz w:val="22"/>
        </w:rPr>
        <w:t>Ten (10) households were systematically selected per EA using a random-start systematic selection procedure, yielding a target sample of 5,000 households. The final number of households successfully interviewed was 4,986 (post-planting) and 4,851 (both rounds), with a post-harvest response rate of 97.1%.</w:t>
      </w:r>
    </w:p>
    <w:p>
      <w:pPr>
        <w:pStyle w:val="ListBullet"/>
        <w:spacing w:after="60"/>
      </w:pPr>
      <w:r>
        <w:rPr>
          <w:rFonts w:ascii="Calibri" w:hAnsi="Calibri"/>
          <w:b/>
          <w:i w:val="0"/>
          <w:color w:val="1F497D"/>
          <w:sz w:val="22"/>
        </w:rPr>
        <w:t xml:space="preserve">Survey instruments: </w:t>
      </w:r>
      <w:r>
        <w:rPr>
          <w:rFonts w:ascii="Calibri" w:hAnsi="Calibri"/>
          <w:b w:val="0"/>
          <w:i w:val="0"/>
          <w:sz w:val="22"/>
        </w:rPr>
        <w:t>Three questionnaires were administered: (i) Household Questionnaire – covering demographics, food and non-food expenditure, income, assets, and housing; (ii) Agriculture Questionnaire; and (iii) Community Questionnaire.</w:t>
      </w:r>
    </w:p>
    <w:p>
      <w:pPr>
        <w:pStyle w:val="ListBullet"/>
        <w:spacing w:after="60"/>
      </w:pPr>
      <w:r>
        <w:rPr>
          <w:rFonts w:ascii="Calibri" w:hAnsi="Calibri"/>
          <w:b/>
          <w:i w:val="0"/>
          <w:color w:val="1F497D"/>
          <w:sz w:val="22"/>
        </w:rPr>
        <w:t xml:space="preserve">Population weights: </w:t>
      </w:r>
      <w:r>
        <w:rPr>
          <w:rFonts w:ascii="Calibri" w:hAnsi="Calibri"/>
          <w:b w:val="0"/>
          <w:i w:val="0"/>
          <w:sz w:val="22"/>
        </w:rPr>
        <w:t>A population weight variable was calculated for each panel household and is included in the dataset. When applied, the weight raises sample values to national population totals, adjusting for population concentrations across areas.</w:t>
      </w:r>
    </w:p>
    <w:p>
      <w:pPr>
        <w:pStyle w:val="ListBullet"/>
        <w:spacing w:after="60"/>
      </w:pPr>
      <w:r>
        <w:rPr>
          <w:rFonts w:ascii="Calibri" w:hAnsi="Calibri"/>
          <w:b/>
          <w:i w:val="0"/>
          <w:color w:val="1F497D"/>
          <w:sz w:val="22"/>
        </w:rPr>
        <w:t xml:space="preserve">State-level estimates: </w:t>
      </w:r>
      <w:r>
        <w:rPr>
          <w:rFonts w:ascii="Calibri" w:hAnsi="Calibri"/>
          <w:b w:val="0"/>
          <w:i w:val="0"/>
          <w:sz w:val="22"/>
        </w:rPr>
        <w:t>Although the GHS-Panel's primary design domain is national and zonal, samples were proportionally allocated to each state based on the number of EAs per state and the FCT. State-level expenditure estimates are therefore derived from proportionally allocated sub-samples within each of the 36 states and the FCT.</w:t>
      </w:r>
    </w:p>
    <w:p>
      <w:pPr>
        <w:spacing w:before="240" w:after="80"/>
      </w:pPr>
      <w:r>
        <w:rPr>
          <w:rFonts w:ascii="Calibri" w:hAnsi="Calibri"/>
          <w:b/>
          <w:i w:val="0"/>
          <w:color w:val="1F497D"/>
          <w:sz w:val="26"/>
        </w:rPr>
        <w:t>6.  How the Expenditure Data Were Compiled</w:t>
      </w:r>
    </w:p>
    <w:p>
      <w:pPr>
        <w:spacing w:after="120" w:before="40"/>
      </w:pPr>
      <w:r>
        <w:rPr>
          <w:rFonts w:ascii="Calibri" w:hAnsi="Calibri"/>
          <w:b w:val="0"/>
          <w:i w:val="0"/>
          <w:sz w:val="22"/>
        </w:rPr>
        <w:t>The state-level household expenditure values in the dataset were constructed as follows:</w:t>
      </w:r>
    </w:p>
    <w:p>
      <w:pPr>
        <w:pStyle w:val="ListBullet"/>
        <w:spacing w:after="60"/>
      </w:pPr>
      <w:r>
        <w:rPr>
          <w:rFonts w:ascii="Calibri" w:hAnsi="Calibri"/>
          <w:b/>
          <w:i w:val="0"/>
          <w:color w:val="1F497D"/>
          <w:sz w:val="22"/>
        </w:rPr>
        <w:t xml:space="preserve">Food expenditure: </w:t>
      </w:r>
      <w:r>
        <w:rPr>
          <w:rFonts w:ascii="Calibri" w:hAnsi="Calibri"/>
          <w:b w:val="0"/>
          <w:i w:val="0"/>
          <w:sz w:val="22"/>
        </w:rPr>
        <w:t>Collected in Section 7 of the Household Questionnaire (post-planting and post-harvest). Households reported actual expenditure on a wide range of food items over specified reference periods (7-day recall for frequently purchased items).</w:t>
      </w:r>
    </w:p>
    <w:p>
      <w:pPr>
        <w:pStyle w:val="ListBullet"/>
        <w:spacing w:after="60"/>
      </w:pPr>
      <w:r>
        <w:rPr>
          <w:rFonts w:ascii="Calibri" w:hAnsi="Calibri"/>
          <w:b/>
          <w:i w:val="0"/>
          <w:color w:val="1F497D"/>
          <w:sz w:val="22"/>
        </w:rPr>
        <w:t xml:space="preserve">Non-food expenditure: </w:t>
      </w:r>
      <w:r>
        <w:rPr>
          <w:rFonts w:ascii="Calibri" w:hAnsi="Calibri"/>
          <w:b w:val="0"/>
          <w:i w:val="0"/>
          <w:sz w:val="22"/>
        </w:rPr>
        <w:t>Collected in Sections 8A and 8B (Non-Food Expenditure – 7-day and 30-day recall modules), covering clothing, education, health, transport, utilities, and other household goods and services.</w:t>
      </w:r>
    </w:p>
    <w:p>
      <w:pPr>
        <w:pStyle w:val="ListBullet"/>
        <w:spacing w:after="60"/>
      </w:pPr>
      <w:r>
        <w:rPr>
          <w:rFonts w:ascii="Calibri" w:hAnsi="Calibri"/>
          <w:b/>
          <w:i w:val="0"/>
          <w:color w:val="1F497D"/>
          <w:sz w:val="22"/>
        </w:rPr>
        <w:t xml:space="preserve">Aggregation: </w:t>
      </w:r>
      <w:r>
        <w:rPr>
          <w:rFonts w:ascii="Calibri" w:hAnsi="Calibri"/>
          <w:b w:val="0"/>
          <w:i w:val="0"/>
          <w:sz w:val="22"/>
        </w:rPr>
        <w:t>Household-level food and non-food expenditures were summed and annualised to produce total annual household expenditure. Survey weights were applied to raise household estimates to population-representative state-level totals.</w:t>
      </w:r>
    </w:p>
    <w:p>
      <w:pPr>
        <w:pStyle w:val="ListBullet"/>
        <w:spacing w:after="60"/>
      </w:pPr>
      <w:r>
        <w:rPr>
          <w:rFonts w:ascii="Calibri" w:hAnsi="Calibri"/>
          <w:b/>
          <w:i w:val="0"/>
          <w:color w:val="1F497D"/>
          <w:sz w:val="22"/>
        </w:rPr>
        <w:t xml:space="preserve">Data entry and cleaning: </w:t>
      </w:r>
      <w:r>
        <w:rPr>
          <w:rFonts w:ascii="Calibri" w:hAnsi="Calibri"/>
          <w:b w:val="0"/>
          <w:i w:val="0"/>
          <w:sz w:val="22"/>
        </w:rPr>
        <w:t>Field data were entered concurrently in CSPro software by state-based data entry operators. Multi-stage data cleaning was performed at state offices and NBS headquarters to remove out-of-range values, outliers, and inconsistencies before final state-level aggregates were released.</w:t>
      </w:r>
    </w:p>
    <w:p>
      <w:pPr>
        <w:pStyle w:val="ListBullet"/>
        <w:spacing w:after="60"/>
      </w:pPr>
      <w:r>
        <w:rPr>
          <w:rFonts w:ascii="Calibri" w:hAnsi="Calibri"/>
          <w:b/>
          <w:i w:val="0"/>
          <w:color w:val="1F497D"/>
          <w:sz w:val="22"/>
        </w:rPr>
        <w:t xml:space="preserve">Dissemination: </w:t>
      </w:r>
      <w:r>
        <w:rPr>
          <w:rFonts w:ascii="Calibri" w:hAnsi="Calibri"/>
          <w:b w:val="0"/>
          <w:i w:val="0"/>
          <w:sz w:val="22"/>
        </w:rPr>
        <w:t>NBS published the cleaned, weighted household expenditure aggregates by state. The Open Data for Africa portal subsequently ingested and published NBS's state-level summary table, making the 2012 reference-year expenditure data accessible at the URL cited above.</w:t>
      </w:r>
    </w:p>
    <w:p>
      <w:pPr>
        <w:spacing w:before="240" w:after="80"/>
      </w:pPr>
      <w:r>
        <w:rPr>
          <w:rFonts w:ascii="Calibri" w:hAnsi="Calibri"/>
          <w:b/>
          <w:i w:val="0"/>
          <w:color w:val="1F497D"/>
          <w:sz w:val="26"/>
        </w:rPr>
        <w:t>7.  Institutional and Partnership Context</w:t>
      </w:r>
    </w:p>
    <w:p>
      <w:pPr>
        <w:spacing w:after="120" w:before="40"/>
      </w:pPr>
      <w:r>
        <w:rPr>
          <w:rFonts w:ascii="Calibri" w:hAnsi="Calibri"/>
          <w:b w:val="0"/>
          <w:i w:val="0"/>
          <w:sz w:val="22"/>
        </w:rPr>
        <w:t>The GHS-Panel Wave 2 was implemented by the National Bureau of Statistics (NBS) in partnership with several institutions:</w:t>
      </w:r>
    </w:p>
    <w:p>
      <w:pPr>
        <w:pStyle w:val="ListBullet"/>
        <w:spacing w:after="60"/>
      </w:pPr>
      <w:r>
        <w:rPr>
          <w:rFonts w:ascii="Calibri" w:hAnsi="Calibri"/>
          <w:b/>
          <w:i w:val="0"/>
          <w:color w:val="1F497D"/>
          <w:sz w:val="22"/>
        </w:rPr>
        <w:t xml:space="preserve">Federal Ministry of Agriculture and Rural Development (FMA&amp;RD): </w:t>
      </w:r>
      <w:r>
        <w:rPr>
          <w:rFonts w:ascii="Calibri" w:hAnsi="Calibri"/>
          <w:b w:val="0"/>
          <w:i w:val="0"/>
          <w:sz w:val="22"/>
        </w:rPr>
        <w:t>Technical assistance</w:t>
      </w:r>
    </w:p>
    <w:p>
      <w:pPr>
        <w:pStyle w:val="ListBullet"/>
        <w:spacing w:after="60"/>
      </w:pPr>
      <w:r>
        <w:rPr>
          <w:rFonts w:ascii="Calibri" w:hAnsi="Calibri"/>
          <w:b/>
          <w:i w:val="0"/>
          <w:color w:val="1F497D"/>
          <w:sz w:val="22"/>
        </w:rPr>
        <w:t xml:space="preserve">National Food Reserve Agency (NFRA): </w:t>
      </w:r>
      <w:r>
        <w:rPr>
          <w:rFonts w:ascii="Calibri" w:hAnsi="Calibri"/>
          <w:b w:val="0"/>
          <w:i w:val="0"/>
          <w:sz w:val="22"/>
        </w:rPr>
        <w:t>Technical assistance</w:t>
      </w:r>
    </w:p>
    <w:p>
      <w:pPr>
        <w:pStyle w:val="ListBullet"/>
        <w:spacing w:after="60"/>
      </w:pPr>
      <w:r>
        <w:rPr>
          <w:rFonts w:ascii="Calibri" w:hAnsi="Calibri"/>
          <w:b/>
          <w:i w:val="0"/>
          <w:color w:val="1F497D"/>
          <w:sz w:val="22"/>
        </w:rPr>
        <w:t xml:space="preserve">The World Bank (Living Standards Measurement Study – LSMS programme): </w:t>
      </w:r>
      <w:r>
        <w:rPr>
          <w:rFonts w:ascii="Calibri" w:hAnsi="Calibri"/>
          <w:b w:val="0"/>
          <w:i w:val="0"/>
          <w:sz w:val="22"/>
        </w:rPr>
        <w:t>Funding and technical assistance</w:t>
      </w:r>
    </w:p>
    <w:p>
      <w:pPr>
        <w:pStyle w:val="ListBullet"/>
        <w:spacing w:after="60"/>
      </w:pPr>
      <w:r>
        <w:rPr>
          <w:rFonts w:ascii="Calibri" w:hAnsi="Calibri"/>
          <w:b/>
          <w:i w:val="0"/>
          <w:color w:val="1F497D"/>
          <w:sz w:val="22"/>
        </w:rPr>
        <w:t xml:space="preserve">Bill &amp; Melinda Gates Foundation (BMGF): </w:t>
      </w:r>
      <w:r>
        <w:rPr>
          <w:rFonts w:ascii="Calibri" w:hAnsi="Calibri"/>
          <w:b w:val="0"/>
          <w:i w:val="0"/>
          <w:sz w:val="22"/>
        </w:rPr>
        <w:t>Funding</w:t>
      </w:r>
    </w:p>
    <w:p>
      <w:pPr>
        <w:spacing w:after="120" w:before="40"/>
      </w:pPr>
      <w:r>
        <w:rPr>
          <w:rFonts w:ascii="Calibri" w:hAnsi="Calibri"/>
          <w:b w:val="0"/>
          <w:i w:val="0"/>
          <w:sz w:val="22"/>
        </w:rPr>
        <w:t>NBS coordinated fieldwork through six zonal offices and 36 state offices (plus FCT). Field teams comprising supervisors, 2–4 interviewers, and a data entry operator were deployed to each state. Three rounds of monitoring—conducted by NBS state officers, zonal controllers, and a joint NBS/FMA&amp;RD/NFRA/World Bank technical team—covered all states and the FCT to ensure protocol compliance and data quality.</w:t>
      </w:r>
    </w:p>
    <w:p>
      <w:pPr>
        <w:spacing w:before="240" w:after="80"/>
      </w:pPr>
      <w:r>
        <w:rPr>
          <w:rFonts w:ascii="Calibri" w:hAnsi="Calibri"/>
          <w:b/>
          <w:i w:val="0"/>
          <w:color w:val="1F497D"/>
          <w:sz w:val="26"/>
        </w:rPr>
        <w:t>8.  Data Confidentiality and Access</w:t>
      </w:r>
    </w:p>
    <w:p>
      <w:pPr>
        <w:spacing w:after="120" w:before="40"/>
      </w:pPr>
      <w:r>
        <w:rPr>
          <w:rFonts w:ascii="Calibri" w:hAnsi="Calibri"/>
          <w:b w:val="0"/>
          <w:i w:val="0"/>
          <w:sz w:val="22"/>
        </w:rPr>
        <w:t>The confidentiality of individual respondents is protected under the Statistics Act 2007 (published in the Official Gazette of the Federal Republic of Nigeria, No. 60, Vol. 94, 11 June 2007). Section 26(2) of the Act governs individual data protection, while Section 28 specifies punitive measures for breaches. Only properly anonymised micro-data are released under Section 27 of the same Act. The state-level expenditure aggregates disseminated through the Open Data for Africa portal are fully anonymised summary statistics that do not contain any individual household identifiers.</w:t>
      </w:r>
    </w:p>
    <w:p>
      <w:pPr>
        <w:spacing w:before="240" w:after="80"/>
      </w:pPr>
      <w:r>
        <w:rPr>
          <w:rFonts w:ascii="Calibri" w:hAnsi="Calibri"/>
          <w:b/>
          <w:i w:val="0"/>
          <w:color w:val="1F497D"/>
          <w:sz w:val="26"/>
        </w:rPr>
        <w:t>9.  How to Interpret the Data</w:t>
      </w:r>
    </w:p>
    <w:p>
      <w:pPr>
        <w:spacing w:after="120" w:before="40"/>
      </w:pPr>
      <w:r>
        <w:rPr>
          <w:rFonts w:ascii="Calibri" w:hAnsi="Calibri"/>
          <w:b w:val="0"/>
          <w:i w:val="0"/>
          <w:sz w:val="22"/>
        </w:rPr>
        <w:t>Users of the household expenditure dataset should note the following interpretation guidelines:</w:t>
      </w:r>
    </w:p>
    <w:p>
      <w:pPr>
        <w:pStyle w:val="ListBullet"/>
        <w:spacing w:after="60"/>
      </w:pPr>
      <w:r>
        <w:rPr>
          <w:rFonts w:ascii="Calibri" w:hAnsi="Calibri"/>
          <w:b/>
          <w:i w:val="0"/>
          <w:color w:val="1F497D"/>
          <w:sz w:val="22"/>
        </w:rPr>
        <w:t xml:space="preserve">Reference year: </w:t>
      </w:r>
      <w:r>
        <w:rPr>
          <w:rFonts w:ascii="Calibri" w:hAnsi="Calibri"/>
          <w:b w:val="0"/>
          <w:i w:val="0"/>
          <w:sz w:val="22"/>
        </w:rPr>
        <w:t>All expenditure values relate to the 2012 survey reference period. They do not reflect price or consumption changes after 2012.</w:t>
      </w:r>
    </w:p>
    <w:p>
      <w:pPr>
        <w:pStyle w:val="ListBullet"/>
        <w:spacing w:after="60"/>
      </w:pPr>
      <w:r>
        <w:rPr>
          <w:rFonts w:ascii="Calibri" w:hAnsi="Calibri"/>
          <w:b/>
          <w:i w:val="0"/>
          <w:color w:val="1F497D"/>
          <w:sz w:val="22"/>
        </w:rPr>
        <w:t xml:space="preserve">Unit of measurement: </w:t>
      </w:r>
      <w:r>
        <w:rPr>
          <w:rFonts w:ascii="Calibri" w:hAnsi="Calibri"/>
          <w:b w:val="0"/>
          <w:i w:val="0"/>
          <w:sz w:val="22"/>
        </w:rPr>
        <w:t>Expenditure figures are expressed in Nigerian Naira (₦) and represent average annual household expenditure at the state level.</w:t>
      </w:r>
    </w:p>
    <w:p>
      <w:pPr>
        <w:pStyle w:val="ListBullet"/>
        <w:spacing w:after="60"/>
      </w:pPr>
      <w:r>
        <w:rPr>
          <w:rFonts w:ascii="Calibri" w:hAnsi="Calibri"/>
          <w:b/>
          <w:i w:val="0"/>
          <w:color w:val="1F497D"/>
          <w:sz w:val="22"/>
        </w:rPr>
        <w:t xml:space="preserve">State-level precision: </w:t>
      </w:r>
      <w:r>
        <w:rPr>
          <w:rFonts w:ascii="Calibri" w:hAnsi="Calibri"/>
          <w:b w:val="0"/>
          <w:i w:val="0"/>
          <w:sz w:val="22"/>
        </w:rPr>
        <w:t>Because the GHS-Panel was primarily designed for national and zonal representativeness, state-level estimates carry higher standard errors than national estimates. They should be treated as indicative state proxies rather than census-grade measurements.</w:t>
      </w:r>
    </w:p>
    <w:p>
      <w:pPr>
        <w:pStyle w:val="ListBullet"/>
        <w:spacing w:after="60"/>
      </w:pPr>
      <w:r>
        <w:rPr>
          <w:rFonts w:ascii="Calibri" w:hAnsi="Calibri"/>
          <w:b/>
          <w:i w:val="0"/>
          <w:color w:val="1F497D"/>
          <w:sz w:val="22"/>
        </w:rPr>
        <w:t xml:space="preserve">Coverage: </w:t>
      </w:r>
      <w:r>
        <w:rPr>
          <w:rFonts w:ascii="Calibri" w:hAnsi="Calibri"/>
          <w:b w:val="0"/>
          <w:i w:val="0"/>
          <w:sz w:val="22"/>
        </w:rPr>
        <w:t>The survey covers all de jure households in conventional dwellings. It excludes institutional populations (prisons, hospitals, military barracks, and school dormitories).</w:t>
      </w:r>
    </w:p>
    <w:p>
      <w:pPr>
        <w:pStyle w:val="ListBullet"/>
        <w:spacing w:after="60"/>
      </w:pPr>
      <w:r>
        <w:rPr>
          <w:rFonts w:ascii="Calibri" w:hAnsi="Calibri"/>
          <w:b/>
          <w:i w:val="0"/>
          <w:color w:val="1F497D"/>
          <w:sz w:val="22"/>
        </w:rPr>
        <w:t xml:space="preserve">Comparability: </w:t>
      </w:r>
      <w:r>
        <w:rPr>
          <w:rFonts w:ascii="Calibri" w:hAnsi="Calibri"/>
          <w:b w:val="0"/>
          <w:i w:val="0"/>
          <w:sz w:val="22"/>
        </w:rPr>
        <w:t>Figures may be compared across states within the same 2012 dataset but should not be directly compared with household expenditure figures from other survey rounds (e.g., 2015–16 Wave 3 or 2018–19 Wave 4) without adjusting for price changes and methodological differences between waves.</w:t>
      </w:r>
    </w:p>
    <w:p>
      <w:pPr>
        <w:spacing w:before="240" w:after="80"/>
      </w:pPr>
      <w:r>
        <w:rPr>
          <w:rFonts w:ascii="Calibri" w:hAnsi="Calibri"/>
          <w:b/>
          <w:i w:val="0"/>
          <w:color w:val="1F497D"/>
          <w:sz w:val="26"/>
        </w:rPr>
        <w:t>10.  Recommended Citation</w:t>
      </w:r>
    </w:p>
    <w:p>
      <w:pPr>
        <w:spacing w:after="120" w:before="40"/>
      </w:pPr>
      <w:r>
        <w:rPr>
          <w:rFonts w:ascii="Calibri" w:hAnsi="Calibri"/>
          <w:b w:val="0"/>
          <w:i w:val="0"/>
          <w:sz w:val="22"/>
        </w:rPr>
        <w:t>When referencing this dataset in any report, workbook, or publication, use the following citation:</w:t>
      </w:r>
    </w:p>
    <w:p>
      <w:pPr>
        <w:spacing w:after="200"/>
        <w:ind w:left="576" w:right="576"/>
        <w:pBdr>
          <w:top w:val="single" w:sz="4" w:space="4" w:color="1F497D"/>
          <w:left w:val="single" w:sz="4" w:space="4" w:color="1F497D"/>
          <w:bottom w:val="single" w:sz="4" w:space="4" w:color="1F497D"/>
          <w:right w:val="single" w:sz="4" w:space="4" w:color="1F497D"/>
        </w:pBdr>
      </w:pPr>
      <w:r>
        <w:rPr>
          <w:rFonts w:ascii="Calibri" w:hAnsi="Calibri"/>
          <w:b w:val="0"/>
          <w:i/>
          <w:sz w:val="20"/>
        </w:rPr>
        <w:t>"This dataset presents state-level average annual household expenditure for all 36 states of Nigeria and the Federal Capital Territory (FCT), Abuja, with a reference year of 2012. The data are derived from the Nigeria General Household Survey – Panel (GHS-Panel) Wave 2 (2012–2013), conducted by the National Bureau of Statistics (NBS) of the Federal Republic of Nigeria in collaboration with the World Bank (LSMS programme), the Federal Ministry of Agriculture and Rural Development, and the Bill &amp; Melinda Gates Foundation. State-level expenditure aggregates were compiled from weighted household-level food and non-food expenditure modules and disseminated through the Open Data for Africa – Nigeria portal (https://nigeria.opendataforafrica.org/sqjpqy). The data should be interpreted as state-level indicative estimates from a nationally representative panel survey, not as state-representative census figures."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