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32"/>
        </w:rPr>
        <w:t>Nigeria State-Level Energy Data</w:t>
      </w:r>
    </w:p>
    <w:p>
      <w:pPr>
        <w:jc w:val="center"/>
      </w:pPr>
      <w:r>
        <w:rPr>
          <w:rFonts w:ascii="Calibri" w:hAnsi="Calibri"/>
          <w:b/>
          <w:i w:val="0"/>
          <w:color w:val="1F497D"/>
          <w:sz w:val="28"/>
        </w:rPr>
        <w:t>Source Note and Validation Statement</w:t>
      </w:r>
    </w:p>
    <w:p>
      <w:pPr>
        <w:jc w:val="center"/>
      </w:pPr>
      <w:r>
        <w:rPr>
          <w:rFonts w:ascii="Calibri" w:hAnsi="Calibri"/>
          <w:b w:val="0"/>
          <w:i/>
          <w:color w:val="595959"/>
          <w:sz w:val="20"/>
        </w:rPr>
        <w:t>Nigeria 36 States + FCT | Data Reference Years: 2022–2024 | Published: May 2026</w:t>
      </w:r>
    </w:p>
    <w:p>
      <w:pPr>
        <w:jc w:val="center"/>
      </w:pPr>
      <w:r>
        <w:rPr>
          <w:rFonts w:ascii="Calibri" w:hAnsi="Calibri"/>
          <w:b w:val="0"/>
          <w:i/>
          <w:color w:val="595959"/>
          <w:sz w:val="20"/>
        </w:rPr>
        <w:t>Source: African Development Bank – Open Data for Africa platform (nigeria.opendataforafrica.org)</w:t>
      </w:r>
    </w:p>
    <w:p/>
    <w:p>
      <w:pPr>
        <w:spacing w:before="240" w:after="120"/>
      </w:pPr>
      <w:r>
        <w:rPr>
          <w:rFonts w:ascii="Calibri" w:hAnsi="Calibri"/>
          <w:b/>
          <w:i w:val="0"/>
          <w:color w:val="1F497D"/>
          <w:sz w:val="24"/>
        </w:rPr>
        <w:t>1.  Overview of the Data Source</w:t>
      </w:r>
    </w:p>
    <w:p>
      <w:pPr>
        <w:spacing w:before="60" w:after="80"/>
      </w:pPr>
      <w:r>
        <w:rPr>
          <w:rFonts w:ascii="Calibri" w:hAnsi="Calibri"/>
          <w:b w:val="0"/>
          <w:i w:val="0"/>
          <w:sz w:val="21"/>
        </w:rPr>
        <w:t>The energy dataset published at https://nigeria.opendataforafrica.org/lfdcwyc/energy-data is hosted on the Open Data for Africa (ODA) portal maintained by the African Development Bank (AfDB) Group. The portal aggregates harmonised, sub-national statistical data across African countries. For Nigeria, the platform compiles state-level energy indicators from official Nigerian government agencies, international development organisations, and licensed data providers. All 36 states of the federation and the Federal Capital Territory (FCT), Abuja, are represented in the dataset.</w:t>
      </w:r>
    </w:p>
    <w:p>
      <w:pPr>
        <w:spacing w:before="60" w:after="80"/>
      </w:pPr>
      <w:r>
        <w:rPr>
          <w:rFonts w:ascii="Calibri" w:hAnsi="Calibri"/>
          <w:b w:val="0"/>
          <w:i w:val="0"/>
          <w:sz w:val="21"/>
        </w:rPr>
        <w:t>The dataset is a compiled research proxy. It does not generate primary data; rather, it re-publishes and harmonises statistics collected by primary custodians. Each indicator traces to a distinct upstream official source with its own reference year. The principal reference years for data in this dataset are 2022, 2023, and 2024, depending on the indicator category, as detailed in the sections below.</w:t>
      </w:r>
    </w:p>
    <w:p>
      <w:pPr>
        <w:spacing w:before="240" w:after="120"/>
      </w:pPr>
      <w:r>
        <w:rPr>
          <w:rFonts w:ascii="Calibri" w:hAnsi="Calibri"/>
          <w:b/>
          <w:i w:val="0"/>
          <w:color w:val="1F497D"/>
          <w:sz w:val="24"/>
        </w:rPr>
        <w:t>2.  Official Source Institutions and Reference Years</w:t>
      </w:r>
    </w:p>
    <w:p>
      <w:pPr>
        <w:spacing w:before="60" w:after="80"/>
      </w:pPr>
      <w:r>
        <w:rPr>
          <w:rFonts w:ascii="Calibri" w:hAnsi="Calibri"/>
          <w:b w:val="0"/>
          <w:i w:val="0"/>
          <w:sz w:val="21"/>
        </w:rPr>
        <w:t>The following institutions are the primary upstream data custodians, with the specific reference years used:</w:t>
      </w:r>
    </w:p>
    <w:p>
      <w:pPr>
        <w:spacing w:before="120" w:after="40"/>
      </w:pPr>
      <w:r>
        <w:rPr>
          <w:rFonts w:ascii="Calibri" w:hAnsi="Calibri"/>
          <w:b/>
          <w:i w:val="0"/>
          <w:color w:val="00467F"/>
          <w:sz w:val="21"/>
        </w:rPr>
        <w:t>Nigerian Electricity Regulatory Commission (NERC)</w:t>
      </w:r>
    </w:p>
    <w:p>
      <w:pPr>
        <w:spacing w:before="20" w:after="40"/>
        <w:ind w:left="283"/>
      </w:pPr>
      <w:r>
        <w:rPr>
          <w:rFonts w:ascii="Calibri" w:hAnsi="Calibri"/>
          <w:b/>
          <w:i w:val="0"/>
          <w:color w:val="C00000"/>
          <w:sz w:val="21"/>
        </w:rPr>
        <w:t>Reference Year: 2024 (Q2 2024 — April to June 2024)</w:t>
      </w:r>
    </w:p>
    <w:p>
      <w:pPr>
        <w:spacing w:before="20" w:after="40"/>
        <w:ind w:left="283"/>
      </w:pPr>
      <w:r>
        <w:rPr>
          <w:rFonts w:ascii="Calibri" w:hAnsi="Calibri"/>
          <w:b w:val="0"/>
          <w:i w:val="0"/>
          <w:sz w:val="21"/>
        </w:rPr>
        <w:t>https://nerc.gov.ng/resource-category/statistics-and-performance-data/</w:t>
      </w:r>
    </w:p>
    <w:p>
      <w:pPr>
        <w:spacing w:before="20" w:after="40"/>
        <w:ind w:left="283"/>
      </w:pPr>
      <w:r>
        <w:rPr>
          <w:rFonts w:ascii="Calibri" w:hAnsi="Calibri"/>
          <w:b w:val="0"/>
          <w:i w:val="0"/>
          <w:sz w:val="21"/>
        </w:rPr>
        <w:t>NERC's Q2 2024 Quarterly Report (Appendix III and IV) provides energy billed, total billing, revenue collected, and collection efficiency for all 11 DisCos covering Nigeria's 36 states and FCT. This is the most recent officially published DisCo performance data used in the dataset.</w:t>
      </w:r>
    </w:p>
    <w:p>
      <w:pPr>
        <w:spacing w:before="120" w:after="40"/>
      </w:pPr>
      <w:r>
        <w:rPr>
          <w:rFonts w:ascii="Calibri" w:hAnsi="Calibri"/>
          <w:b/>
          <w:i w:val="0"/>
          <w:color w:val="00467F"/>
          <w:sz w:val="21"/>
        </w:rPr>
        <w:t>National Bureau of Statistics (NBS) – Nigeria</w:t>
      </w:r>
    </w:p>
    <w:p>
      <w:pPr>
        <w:spacing w:before="20" w:after="40"/>
        <w:ind w:left="283"/>
      </w:pPr>
      <w:r>
        <w:rPr>
          <w:rFonts w:ascii="Calibri" w:hAnsi="Calibri"/>
          <w:b/>
          <w:i w:val="0"/>
          <w:color w:val="C00000"/>
          <w:sz w:val="21"/>
        </w:rPr>
        <w:t>Reference Year: 2023 and Q1–Q2 2024</w:t>
      </w:r>
    </w:p>
    <w:p>
      <w:pPr>
        <w:spacing w:before="20" w:after="40"/>
        <w:ind w:left="283"/>
      </w:pPr>
      <w:r>
        <w:rPr>
          <w:rFonts w:ascii="Calibri" w:hAnsi="Calibri"/>
          <w:b w:val="0"/>
          <w:i w:val="0"/>
          <w:sz w:val="21"/>
        </w:rPr>
        <w:t>https://www.nigerianstat.gov.ng/</w:t>
      </w:r>
    </w:p>
    <w:p>
      <w:pPr>
        <w:spacing w:before="20" w:after="40"/>
        <w:ind w:left="283"/>
      </w:pPr>
      <w:r>
        <w:rPr>
          <w:rFonts w:ascii="Calibri" w:hAnsi="Calibri"/>
          <w:b w:val="0"/>
          <w:i w:val="0"/>
          <w:sz w:val="21"/>
        </w:rPr>
        <w:t>The NBS Electricity Report Q1 2024 and Q2 2024 provide quarterly electricity supply, energy billed, and revenue data. The NBS General Household Survey (GHS) Panel Wave 5 (2023/2024) provides household-level electricity access data. Power Sector Data reports for 2020 and 2021 supply historical generation baselines.</w:t>
      </w:r>
    </w:p>
    <w:p>
      <w:pPr>
        <w:spacing w:before="120" w:after="40"/>
      </w:pPr>
      <w:r>
        <w:rPr>
          <w:rFonts w:ascii="Calibri" w:hAnsi="Calibri"/>
          <w:b/>
          <w:i w:val="0"/>
          <w:color w:val="00467F"/>
          <w:sz w:val="21"/>
        </w:rPr>
        <w:t>Rural Electrification Agency (REA) – Nigerian Energy Database</w:t>
      </w:r>
    </w:p>
    <w:p>
      <w:pPr>
        <w:spacing w:before="20" w:after="40"/>
        <w:ind w:left="283"/>
      </w:pPr>
      <w:r>
        <w:rPr>
          <w:rFonts w:ascii="Calibri" w:hAnsi="Calibri"/>
          <w:b/>
          <w:i w:val="0"/>
          <w:color w:val="C00000"/>
          <w:sz w:val="21"/>
        </w:rPr>
        <w:t>Reference Year: 2023–2024</w:t>
      </w:r>
    </w:p>
    <w:p>
      <w:pPr>
        <w:spacing w:before="20" w:after="40"/>
        <w:ind w:left="283"/>
      </w:pPr>
      <w:r>
        <w:rPr>
          <w:rFonts w:ascii="Calibri" w:hAnsi="Calibri"/>
          <w:b w:val="0"/>
          <w:i w:val="0"/>
          <w:sz w:val="21"/>
        </w:rPr>
        <w:t>https://rea.gov.ng/energydatabase/</w:t>
      </w:r>
    </w:p>
    <w:p>
      <w:pPr>
        <w:spacing w:before="20" w:after="40"/>
        <w:ind w:left="283"/>
      </w:pPr>
      <w:r>
        <w:rPr>
          <w:rFonts w:ascii="Calibri" w:hAnsi="Calibri"/>
          <w:b w:val="0"/>
          <w:i w:val="0"/>
          <w:sz w:val="21"/>
        </w:rPr>
        <w:t>The REA's Nigerian Energy Database (NED) tracks community-level electrification status, mini-grid deployments, and solar home system (SHS) installations across all 36 states and FCT as of the 2023–2024 data collection cycle.</w:t>
      </w:r>
    </w:p>
    <w:p>
      <w:pPr>
        <w:spacing w:before="120" w:after="40"/>
      </w:pPr>
      <w:r>
        <w:rPr>
          <w:rFonts w:ascii="Calibri" w:hAnsi="Calibri"/>
          <w:b/>
          <w:i w:val="0"/>
          <w:color w:val="00467F"/>
          <w:sz w:val="21"/>
        </w:rPr>
        <w:t>Energy Commission of Nigeria (ECN)</w:t>
      </w:r>
    </w:p>
    <w:p>
      <w:pPr>
        <w:spacing w:before="20" w:after="40"/>
        <w:ind w:left="283"/>
      </w:pPr>
      <w:r>
        <w:rPr>
          <w:rFonts w:ascii="Calibri" w:hAnsi="Calibri"/>
          <w:b/>
          <w:i w:val="0"/>
          <w:color w:val="C00000"/>
          <w:sz w:val="21"/>
        </w:rPr>
        <w:t>Reference Year: 2022–2023</w:t>
      </w:r>
    </w:p>
    <w:p>
      <w:pPr>
        <w:spacing w:before="20" w:after="40"/>
        <w:ind w:left="283"/>
      </w:pPr>
      <w:r>
        <w:rPr>
          <w:rFonts w:ascii="Calibri" w:hAnsi="Calibri"/>
          <w:b w:val="0"/>
          <w:i w:val="0"/>
          <w:sz w:val="21"/>
        </w:rPr>
        <w:t>https://energy.gov.ng/energy_statistics.php</w:t>
      </w:r>
    </w:p>
    <w:p>
      <w:pPr>
        <w:spacing w:before="20" w:after="40"/>
        <w:ind w:left="283"/>
      </w:pPr>
      <w:r>
        <w:rPr>
          <w:rFonts w:ascii="Calibri" w:hAnsi="Calibri"/>
          <w:b w:val="0"/>
          <w:i w:val="0"/>
          <w:sz w:val="21"/>
        </w:rPr>
        <w:t>ECN's annual energy statistics, covering primary energy consumption, installed generation capacity, solar, wind, and biomass resources, use 2022 and 2023 as the reference years for state-level disaggregation.</w:t>
      </w:r>
    </w:p>
    <w:p>
      <w:pPr>
        <w:spacing w:before="120" w:after="40"/>
      </w:pPr>
      <w:r>
        <w:rPr>
          <w:rFonts w:ascii="Calibri" w:hAnsi="Calibri"/>
          <w:b/>
          <w:i w:val="0"/>
          <w:color w:val="00467F"/>
          <w:sz w:val="21"/>
        </w:rPr>
        <w:t>World Bank / ESMAP – Tracking SDG 7</w:t>
      </w:r>
    </w:p>
    <w:p>
      <w:pPr>
        <w:spacing w:before="20" w:after="40"/>
        <w:ind w:left="283"/>
      </w:pPr>
      <w:r>
        <w:rPr>
          <w:rFonts w:ascii="Calibri" w:hAnsi="Calibri"/>
          <w:b/>
          <w:i w:val="0"/>
          <w:color w:val="C00000"/>
          <w:sz w:val="21"/>
        </w:rPr>
        <w:t>Reference Year: 2022 (latest available at national level)</w:t>
      </w:r>
    </w:p>
    <w:p>
      <w:pPr>
        <w:spacing w:before="20" w:after="40"/>
        <w:ind w:left="283"/>
      </w:pPr>
      <w:r>
        <w:rPr>
          <w:rFonts w:ascii="Calibri" w:hAnsi="Calibri"/>
          <w:b w:val="0"/>
          <w:i w:val="0"/>
          <w:sz w:val="21"/>
        </w:rPr>
        <w:t>https://trackingsdg7.esmap.org/country/nigeria</w:t>
      </w:r>
    </w:p>
    <w:p>
      <w:pPr>
        <w:spacing w:before="20" w:after="40"/>
        <w:ind w:left="283"/>
      </w:pPr>
      <w:r>
        <w:rPr>
          <w:rFonts w:ascii="Calibri" w:hAnsi="Calibri"/>
          <w:b w:val="0"/>
          <w:i w:val="0"/>
          <w:sz w:val="21"/>
        </w:rPr>
        <w:t>The World Bank / ESMAP SDG 7 programme reports Nigeria's national electricity access rate with 2022 as the most recently validated reference year at the time of compilation. Nigeria's national access rate of 61.2% is the 2022 figure used to calibrate state-level proxy estimates.</w:t>
      </w:r>
    </w:p>
    <w:p>
      <w:pPr>
        <w:spacing w:before="120" w:after="40"/>
      </w:pPr>
      <w:r>
        <w:rPr>
          <w:rFonts w:ascii="Calibri" w:hAnsi="Calibri"/>
          <w:b/>
          <w:i w:val="0"/>
          <w:color w:val="00467F"/>
          <w:sz w:val="21"/>
        </w:rPr>
        <w:t>Nigerian Meteorological Agency (NIMET)</w:t>
      </w:r>
    </w:p>
    <w:p>
      <w:pPr>
        <w:spacing w:before="20" w:after="40"/>
        <w:ind w:left="283"/>
      </w:pPr>
      <w:r>
        <w:rPr>
          <w:rFonts w:ascii="Calibri" w:hAnsi="Calibri"/>
          <w:b/>
          <w:i w:val="0"/>
          <w:color w:val="C00000"/>
          <w:sz w:val="21"/>
        </w:rPr>
        <w:t>Reference Year: 15-year historical average (2008–2022); 5-year hourly data (2018–2022)</w:t>
      </w:r>
    </w:p>
    <w:p>
      <w:pPr>
        <w:spacing w:before="20" w:after="40"/>
        <w:ind w:left="283"/>
      </w:pPr>
      <w:r>
        <w:rPr>
          <w:rFonts w:ascii="Calibri" w:hAnsi="Calibri"/>
          <w:b w:val="0"/>
          <w:i w:val="0"/>
          <w:sz w:val="21"/>
        </w:rPr>
        <w:t>NIMET provides solar irradiation (GHI) and wind speed measurements from ground stations across all 36 states and FCT. Long-run averages are computed from the 2008–2022 record; recent hourly analysis uses 2018–2022 data.</w:t>
      </w:r>
    </w:p>
    <w:p>
      <w:pPr>
        <w:spacing w:before="120" w:after="40"/>
      </w:pPr>
      <w:r>
        <w:rPr>
          <w:rFonts w:ascii="Calibri" w:hAnsi="Calibri"/>
          <w:b/>
          <w:i w:val="0"/>
          <w:color w:val="00467F"/>
          <w:sz w:val="21"/>
        </w:rPr>
        <w:t>IEA / World Bank – Renewable Energy &amp; Energy Consumption Indicators</w:t>
      </w:r>
    </w:p>
    <w:p>
      <w:pPr>
        <w:spacing w:before="20" w:after="40"/>
        <w:ind w:left="283"/>
      </w:pPr>
      <w:r>
        <w:rPr>
          <w:rFonts w:ascii="Calibri" w:hAnsi="Calibri"/>
          <w:b/>
          <w:i w:val="0"/>
          <w:color w:val="C00000"/>
          <w:sz w:val="21"/>
        </w:rPr>
        <w:t>Reference Year: 2022</w:t>
      </w:r>
    </w:p>
    <w:p>
      <w:pPr>
        <w:spacing w:before="20" w:after="40"/>
        <w:ind w:left="283"/>
      </w:pPr>
      <w:r>
        <w:rPr>
          <w:rFonts w:ascii="Calibri" w:hAnsi="Calibri"/>
          <w:b w:val="0"/>
          <w:i w:val="0"/>
          <w:sz w:val="21"/>
        </w:rPr>
        <w:t>https://data.worldbank.org/indicator/EG.FEC.RNEW.ZS</w:t>
      </w:r>
    </w:p>
    <w:p>
      <w:pPr>
        <w:spacing w:before="20" w:after="40"/>
        <w:ind w:left="283"/>
      </w:pPr>
      <w:r>
        <w:rPr>
          <w:rFonts w:ascii="Calibri" w:hAnsi="Calibri"/>
          <w:b w:val="0"/>
          <w:i w:val="0"/>
          <w:sz w:val="21"/>
        </w:rPr>
        <w:t>The IEA Energy Statistics Data Browser and World Bank World Development Indicators (WDI) series report renewable energy consumption (% of total final energy consumption) for Nigeria with 2022 as the latest year.</w:t>
      </w:r>
    </w:p>
    <w:p>
      <w:pPr>
        <w:spacing w:before="120" w:after="40"/>
      </w:pPr>
      <w:r>
        <w:rPr>
          <w:rFonts w:ascii="Calibri" w:hAnsi="Calibri"/>
          <w:b/>
          <w:i w:val="0"/>
          <w:color w:val="00467F"/>
          <w:sz w:val="21"/>
        </w:rPr>
        <w:t>NBS – State Population and GDP Estimates</w:t>
      </w:r>
    </w:p>
    <w:p>
      <w:pPr>
        <w:spacing w:before="20" w:after="40"/>
        <w:ind w:left="283"/>
      </w:pPr>
      <w:r>
        <w:rPr>
          <w:rFonts w:ascii="Calibri" w:hAnsi="Calibri"/>
          <w:b/>
          <w:i w:val="0"/>
          <w:color w:val="C00000"/>
          <w:sz w:val="21"/>
        </w:rPr>
        <w:t>Reference Year: Population — 2023 projection (base: 2006 Census); GDP — 2022–2023</w:t>
      </w:r>
    </w:p>
    <w:p>
      <w:pPr>
        <w:spacing w:before="20" w:after="40"/>
        <w:ind w:left="283"/>
      </w:pPr>
      <w:r>
        <w:rPr>
          <w:rFonts w:ascii="Calibri" w:hAnsi="Calibri"/>
          <w:b w:val="0"/>
          <w:i w:val="0"/>
          <w:sz w:val="21"/>
        </w:rPr>
        <w:t>State population estimates are projected from the NBS 2006 National Census using annual state growth rates. State GDP figures are from the NBS quarterly GDP reports, with 2022–2023 the most recently published state disaggregations at time of compilation.</w:t>
      </w:r>
    </w:p>
    <w:p>
      <w:pPr>
        <w:spacing w:before="240" w:after="120"/>
      </w:pPr>
      <w:r>
        <w:rPr>
          <w:rFonts w:ascii="Calibri" w:hAnsi="Calibri"/>
          <w:b/>
          <w:i w:val="0"/>
          <w:color w:val="1F497D"/>
          <w:sz w:val="24"/>
        </w:rPr>
        <w:t>3.  Data Variables, Primary Sources, and Reference Years</w:t>
      </w:r>
    </w:p>
    <w:p>
      <w:pPr>
        <w:spacing w:before="60" w:after="80"/>
      </w:pPr>
      <w:r>
        <w:rPr>
          <w:rFonts w:ascii="Calibri" w:hAnsi="Calibri"/>
          <w:b w:val="0"/>
          <w:i w:val="0"/>
          <w:sz w:val="21"/>
        </w:rPr>
        <w:t>The table below maps each key indicator to its primary source, collection method, and the specific reference year from which the values in the dataset are drawn: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97D"/>
          </w:tcPr>
          <w:p>
            <w:r>
              <w:rPr>
                <w:rFonts w:ascii="Calibri" w:hAnsi="Calibri"/>
                <w:b/>
                <w:i w:val="0"/>
                <w:color w:val="FFFFFF"/>
                <w:sz w:val="19"/>
              </w:rPr>
              <w:t>Variable / Indicator</w:t>
            </w:r>
          </w:p>
        </w:tc>
        <w:tc>
          <w:tcPr>
            <w:tcW w:type="dxa" w:w="1824"/>
            <w:shd w:val="clear" w:color="auto" w:fill="1F497D"/>
          </w:tcPr>
          <w:p>
            <w:r>
              <w:rPr>
                <w:rFonts w:ascii="Calibri" w:hAnsi="Calibri"/>
                <w:b/>
                <w:i w:val="0"/>
                <w:color w:val="FFFFFF"/>
                <w:sz w:val="19"/>
              </w:rPr>
              <w:t>Unit</w:t>
            </w:r>
          </w:p>
        </w:tc>
        <w:tc>
          <w:tcPr>
            <w:tcW w:type="dxa" w:w="1824"/>
            <w:shd w:val="clear" w:color="auto" w:fill="1F497D"/>
          </w:tcPr>
          <w:p>
            <w:r>
              <w:rPr>
                <w:rFonts w:ascii="Calibri" w:hAnsi="Calibri"/>
                <w:b/>
                <w:i w:val="0"/>
                <w:color w:val="FFFFFF"/>
                <w:sz w:val="19"/>
              </w:rPr>
              <w:t>Primary Source</w:t>
            </w:r>
          </w:p>
        </w:tc>
        <w:tc>
          <w:tcPr>
            <w:tcW w:type="dxa" w:w="1824"/>
            <w:shd w:val="clear" w:color="auto" w:fill="1F497D"/>
          </w:tcPr>
          <w:p>
            <w:r>
              <w:rPr>
                <w:rFonts w:ascii="Calibri" w:hAnsi="Calibri"/>
                <w:b/>
                <w:i w:val="0"/>
                <w:color w:val="FFFFFF"/>
                <w:sz w:val="19"/>
              </w:rPr>
              <w:t>Reference Year</w:t>
            </w:r>
          </w:p>
        </w:tc>
        <w:tc>
          <w:tcPr>
            <w:tcW w:type="dxa" w:w="1824"/>
            <w:shd w:val="clear" w:color="auto" w:fill="1F497D"/>
          </w:tcPr>
          <w:p>
            <w:r>
              <w:rPr>
                <w:rFonts w:ascii="Calibri" w:hAnsi="Calibri"/>
                <w:b/>
                <w:i w:val="0"/>
                <w:color w:val="FFFFFF"/>
                <w:sz w:val="19"/>
              </w:rPr>
              <w:t>Collection Method</w:t>
            </w:r>
          </w:p>
        </w:tc>
      </w:tr>
      <w:tr>
        <w:tc>
          <w:tcPr>
            <w:tcW w:type="dxa" w:w="1824"/>
          </w:tcPr>
          <w:p>
            <w:r>
              <w:rPr>
                <w:rFonts w:ascii="Calibri" w:hAnsi="Calibri"/>
                <w:b w:val="0"/>
                <w:i w:val="0"/>
                <w:sz w:val="18"/>
              </w:rPr>
              <w:t>Electricity Access Rate (%)</w:t>
            </w:r>
          </w:p>
        </w:tc>
        <w:tc>
          <w:tcPr>
            <w:tcW w:type="dxa" w:w="1824"/>
          </w:tcPr>
          <w:p>
            <w:r>
              <w:rPr>
                <w:rFonts w:ascii="Calibri" w:hAnsi="Calibri"/>
                <w:b w:val="0"/>
                <w:i w:val="0"/>
                <w:sz w:val="18"/>
              </w:rPr>
              <w:t>%</w:t>
            </w:r>
          </w:p>
        </w:tc>
        <w:tc>
          <w:tcPr>
            <w:tcW w:type="dxa" w:w="1824"/>
          </w:tcPr>
          <w:p>
            <w:r>
              <w:rPr>
                <w:rFonts w:ascii="Calibri" w:hAnsi="Calibri"/>
                <w:b w:val="0"/>
                <w:i w:val="0"/>
                <w:sz w:val="18"/>
              </w:rPr>
              <w:t>World Bank / ESMAP Tracking SDG 7; NBS GHS Panel Wave 5</w:t>
            </w:r>
          </w:p>
        </w:tc>
        <w:tc>
          <w:tcPr>
            <w:tcW w:type="dxa" w:w="1824"/>
          </w:tcPr>
          <w:p>
            <w:r>
              <w:rPr>
                <w:rFonts w:ascii="Calibri" w:hAnsi="Calibri"/>
                <w:b/>
                <w:i w:val="0"/>
                <w:color w:val="C00000"/>
                <w:sz w:val="18"/>
              </w:rPr>
              <w:t>2022 (national benchmark); 2023/24 (GHS Panel)</w:t>
            </w:r>
          </w:p>
        </w:tc>
        <w:tc>
          <w:tcPr>
            <w:tcW w:type="dxa" w:w="1824"/>
          </w:tcPr>
          <w:p>
            <w:r>
              <w:rPr>
                <w:rFonts w:ascii="Calibri" w:hAnsi="Calibri"/>
                <w:b w:val="0"/>
                <w:i w:val="0"/>
                <w:sz w:val="18"/>
              </w:rPr>
              <w:t>National rate disaggregated to state level using weighted proxy model</w:t>
            </w:r>
          </w:p>
        </w:tc>
      </w:tr>
      <w:tr>
        <w:tc>
          <w:tcPr>
            <w:tcW w:type="dxa" w:w="1824"/>
          </w:tcPr>
          <w:p>
            <w:r>
              <w:rPr>
                <w:rFonts w:ascii="Calibri" w:hAnsi="Calibri"/>
                <w:b w:val="0"/>
                <w:i w:val="0"/>
                <w:sz w:val="18"/>
              </w:rPr>
              <w:t>Population with Electricity Access</w:t>
            </w:r>
          </w:p>
        </w:tc>
        <w:tc>
          <w:tcPr>
            <w:tcW w:type="dxa" w:w="1824"/>
          </w:tcPr>
          <w:p>
            <w:r>
              <w:rPr>
                <w:rFonts w:ascii="Calibri" w:hAnsi="Calibri"/>
                <w:b w:val="0"/>
                <w:i w:val="0"/>
                <w:sz w:val="18"/>
              </w:rPr>
              <w:t>Persons</w:t>
            </w:r>
          </w:p>
        </w:tc>
        <w:tc>
          <w:tcPr>
            <w:tcW w:type="dxa" w:w="1824"/>
          </w:tcPr>
          <w:p>
            <w:r>
              <w:rPr>
                <w:rFonts w:ascii="Calibri" w:hAnsi="Calibri"/>
                <w:b w:val="0"/>
                <w:i w:val="0"/>
                <w:sz w:val="18"/>
              </w:rPr>
              <w:t>NBS; World Bank Population API</w:t>
            </w:r>
          </w:p>
        </w:tc>
        <w:tc>
          <w:tcPr>
            <w:tcW w:type="dxa" w:w="1824"/>
          </w:tcPr>
          <w:p>
            <w:r>
              <w:rPr>
                <w:rFonts w:ascii="Calibri" w:hAnsi="Calibri"/>
                <w:b/>
                <w:i w:val="0"/>
                <w:color w:val="C00000"/>
                <w:sz w:val="18"/>
              </w:rPr>
              <w:t>2023 (projected)</w:t>
            </w:r>
          </w:p>
        </w:tc>
        <w:tc>
          <w:tcPr>
            <w:tcW w:type="dxa" w:w="1824"/>
          </w:tcPr>
          <w:p>
            <w:r>
              <w:rPr>
                <w:rFonts w:ascii="Calibri" w:hAnsi="Calibri"/>
                <w:b w:val="0"/>
                <w:i w:val="0"/>
                <w:sz w:val="18"/>
              </w:rPr>
              <w:t>State access rate × NBS state population projection</w:t>
            </w:r>
          </w:p>
        </w:tc>
      </w:tr>
      <w:tr>
        <w:tc>
          <w:tcPr>
            <w:tcW w:type="dxa" w:w="1824"/>
          </w:tcPr>
          <w:p>
            <w:r>
              <w:rPr>
                <w:rFonts w:ascii="Calibri" w:hAnsi="Calibri"/>
                <w:b w:val="0"/>
                <w:i w:val="0"/>
                <w:sz w:val="18"/>
              </w:rPr>
              <w:t>Population Without Electricity Access</w:t>
            </w:r>
          </w:p>
        </w:tc>
        <w:tc>
          <w:tcPr>
            <w:tcW w:type="dxa" w:w="1824"/>
          </w:tcPr>
          <w:p>
            <w:r>
              <w:rPr>
                <w:rFonts w:ascii="Calibri" w:hAnsi="Calibri"/>
                <w:b w:val="0"/>
                <w:i w:val="0"/>
                <w:sz w:val="18"/>
              </w:rPr>
              <w:t>Persons</w:t>
            </w:r>
          </w:p>
        </w:tc>
        <w:tc>
          <w:tcPr>
            <w:tcW w:type="dxa" w:w="1824"/>
          </w:tcPr>
          <w:p>
            <w:r>
              <w:rPr>
                <w:rFonts w:ascii="Calibri" w:hAnsi="Calibri"/>
                <w:b w:val="0"/>
                <w:i w:val="0"/>
                <w:sz w:val="18"/>
              </w:rPr>
              <w:t>NBS; World Bank Population API</w:t>
            </w:r>
          </w:p>
        </w:tc>
        <w:tc>
          <w:tcPr>
            <w:tcW w:type="dxa" w:w="1824"/>
          </w:tcPr>
          <w:p>
            <w:r>
              <w:rPr>
                <w:rFonts w:ascii="Calibri" w:hAnsi="Calibri"/>
                <w:b/>
                <w:i w:val="0"/>
                <w:color w:val="C00000"/>
                <w:sz w:val="18"/>
              </w:rPr>
              <w:t>2023 (projected)</w:t>
            </w:r>
          </w:p>
        </w:tc>
        <w:tc>
          <w:tcPr>
            <w:tcW w:type="dxa" w:w="1824"/>
          </w:tcPr>
          <w:p>
            <w:r>
              <w:rPr>
                <w:rFonts w:ascii="Calibri" w:hAnsi="Calibri"/>
                <w:b w:val="0"/>
                <w:i w:val="0"/>
                <w:sz w:val="18"/>
              </w:rPr>
              <w:t>State total population minus electrified population</w:t>
            </w:r>
          </w:p>
        </w:tc>
      </w:tr>
      <w:tr>
        <w:tc>
          <w:tcPr>
            <w:tcW w:type="dxa" w:w="1824"/>
          </w:tcPr>
          <w:p>
            <w:r>
              <w:rPr>
                <w:rFonts w:ascii="Calibri" w:hAnsi="Calibri"/>
                <w:b w:val="0"/>
                <w:i w:val="0"/>
                <w:sz w:val="18"/>
              </w:rPr>
              <w:t>Energy Billed by DisCo (GWh)</w:t>
            </w:r>
          </w:p>
        </w:tc>
        <w:tc>
          <w:tcPr>
            <w:tcW w:type="dxa" w:w="1824"/>
          </w:tcPr>
          <w:p>
            <w:r>
              <w:rPr>
                <w:rFonts w:ascii="Calibri" w:hAnsi="Calibri"/>
                <w:b w:val="0"/>
                <w:i w:val="0"/>
                <w:sz w:val="18"/>
              </w:rPr>
              <w:t>GWh</w:t>
            </w:r>
          </w:p>
        </w:tc>
        <w:tc>
          <w:tcPr>
            <w:tcW w:type="dxa" w:w="1824"/>
          </w:tcPr>
          <w:p>
            <w:r>
              <w:rPr>
                <w:rFonts w:ascii="Calibri" w:hAnsi="Calibri"/>
                <w:b w:val="0"/>
                <w:i w:val="0"/>
                <w:sz w:val="18"/>
              </w:rPr>
              <w:t>NERC Q2 2024 Quarterly Report – Appendix III</w:t>
            </w:r>
          </w:p>
        </w:tc>
        <w:tc>
          <w:tcPr>
            <w:tcW w:type="dxa" w:w="1824"/>
          </w:tcPr>
          <w:p>
            <w:r>
              <w:rPr>
                <w:rFonts w:ascii="Calibri" w:hAnsi="Calibri"/>
                <w:b/>
                <w:i w:val="0"/>
                <w:color w:val="C00000"/>
                <w:sz w:val="18"/>
              </w:rPr>
              <w:t>Q2 2024 (Apr–Jun 2024)</w:t>
            </w:r>
          </w:p>
        </w:tc>
        <w:tc>
          <w:tcPr>
            <w:tcW w:type="dxa" w:w="1824"/>
          </w:tcPr>
          <w:p>
            <w:r>
              <w:rPr>
                <w:rFonts w:ascii="Calibri" w:hAnsi="Calibri"/>
                <w:b w:val="0"/>
                <w:i w:val="0"/>
                <w:sz w:val="18"/>
              </w:rPr>
              <w:t>Monthly billed energy aggregated per DisCo then mapped to states</w:t>
            </w:r>
          </w:p>
        </w:tc>
      </w:tr>
      <w:tr>
        <w:tc>
          <w:tcPr>
            <w:tcW w:type="dxa" w:w="1824"/>
          </w:tcPr>
          <w:p>
            <w:r>
              <w:rPr>
                <w:rFonts w:ascii="Calibri" w:hAnsi="Calibri"/>
                <w:b w:val="0"/>
                <w:i w:val="0"/>
                <w:sz w:val="18"/>
              </w:rPr>
              <w:t>Revenue Collected by DisCo (₦ million)</w:t>
            </w:r>
          </w:p>
        </w:tc>
        <w:tc>
          <w:tcPr>
            <w:tcW w:type="dxa" w:w="1824"/>
          </w:tcPr>
          <w:p>
            <w:r>
              <w:rPr>
                <w:rFonts w:ascii="Calibri" w:hAnsi="Calibri"/>
                <w:b w:val="0"/>
                <w:i w:val="0"/>
                <w:sz w:val="18"/>
              </w:rPr>
              <w:t>₦ million</w:t>
            </w:r>
          </w:p>
        </w:tc>
        <w:tc>
          <w:tcPr>
            <w:tcW w:type="dxa" w:w="1824"/>
          </w:tcPr>
          <w:p>
            <w:r>
              <w:rPr>
                <w:rFonts w:ascii="Calibri" w:hAnsi="Calibri"/>
                <w:b w:val="0"/>
                <w:i w:val="0"/>
                <w:sz w:val="18"/>
              </w:rPr>
              <w:t>NERC Q2 2024 Quarterly Report – Appendix IV</w:t>
            </w:r>
          </w:p>
        </w:tc>
        <w:tc>
          <w:tcPr>
            <w:tcW w:type="dxa" w:w="1824"/>
          </w:tcPr>
          <w:p>
            <w:r>
              <w:rPr>
                <w:rFonts w:ascii="Calibri" w:hAnsi="Calibri"/>
                <w:b/>
                <w:i w:val="0"/>
                <w:color w:val="C00000"/>
                <w:sz w:val="18"/>
              </w:rPr>
              <w:t>Q2 2024 (Apr–Jun 2024)</w:t>
            </w:r>
          </w:p>
        </w:tc>
        <w:tc>
          <w:tcPr>
            <w:tcW w:type="dxa" w:w="1824"/>
          </w:tcPr>
          <w:p>
            <w:r>
              <w:rPr>
                <w:rFonts w:ascii="Calibri" w:hAnsi="Calibri"/>
                <w:b w:val="0"/>
                <w:i w:val="0"/>
                <w:sz w:val="18"/>
              </w:rPr>
              <w:t>Quarterly revenue collection per DisCo mapped to states</w:t>
            </w:r>
          </w:p>
        </w:tc>
      </w:tr>
      <w:tr>
        <w:tc>
          <w:tcPr>
            <w:tcW w:type="dxa" w:w="1824"/>
          </w:tcPr>
          <w:p>
            <w:r>
              <w:rPr>
                <w:rFonts w:ascii="Calibri" w:hAnsi="Calibri"/>
                <w:b w:val="0"/>
                <w:i w:val="0"/>
                <w:sz w:val="18"/>
              </w:rPr>
              <w:t>Collection Efficiency (%)</w:t>
            </w:r>
          </w:p>
        </w:tc>
        <w:tc>
          <w:tcPr>
            <w:tcW w:type="dxa" w:w="1824"/>
          </w:tcPr>
          <w:p>
            <w:r>
              <w:rPr>
                <w:rFonts w:ascii="Calibri" w:hAnsi="Calibri"/>
                <w:b w:val="0"/>
                <w:i w:val="0"/>
                <w:sz w:val="18"/>
              </w:rPr>
              <w:t>%</w:t>
            </w:r>
          </w:p>
        </w:tc>
        <w:tc>
          <w:tcPr>
            <w:tcW w:type="dxa" w:w="1824"/>
          </w:tcPr>
          <w:p>
            <w:r>
              <w:rPr>
                <w:rFonts w:ascii="Calibri" w:hAnsi="Calibri"/>
                <w:b w:val="0"/>
                <w:i w:val="0"/>
                <w:sz w:val="18"/>
              </w:rPr>
              <w:t>NERC Q2 2024 – Appendix IV</w:t>
            </w:r>
          </w:p>
        </w:tc>
        <w:tc>
          <w:tcPr>
            <w:tcW w:type="dxa" w:w="1824"/>
          </w:tcPr>
          <w:p>
            <w:r>
              <w:rPr>
                <w:rFonts w:ascii="Calibri" w:hAnsi="Calibri"/>
                <w:b/>
                <w:i w:val="0"/>
                <w:color w:val="C00000"/>
                <w:sz w:val="18"/>
              </w:rPr>
              <w:t>Q2 2024 (Apr–Jun 2024)</w:t>
            </w:r>
          </w:p>
        </w:tc>
        <w:tc>
          <w:tcPr>
            <w:tcW w:type="dxa" w:w="1824"/>
          </w:tcPr>
          <w:p>
            <w:r>
              <w:rPr>
                <w:rFonts w:ascii="Calibri" w:hAnsi="Calibri"/>
                <w:b w:val="0"/>
                <w:i w:val="0"/>
                <w:sz w:val="18"/>
              </w:rPr>
              <w:t>Revenue collected ÷ total billing × 100 per DisCo</w:t>
            </w:r>
          </w:p>
        </w:tc>
      </w:tr>
      <w:tr>
        <w:tc>
          <w:tcPr>
            <w:tcW w:type="dxa" w:w="1824"/>
          </w:tcPr>
          <w:p>
            <w:r>
              <w:rPr>
                <w:rFonts w:ascii="Calibri" w:hAnsi="Calibri"/>
                <w:b w:val="0"/>
                <w:i w:val="0"/>
                <w:sz w:val="18"/>
              </w:rPr>
              <w:t>Installed Electricity Generation Capacity (MW)</w:t>
            </w:r>
          </w:p>
        </w:tc>
        <w:tc>
          <w:tcPr>
            <w:tcW w:type="dxa" w:w="1824"/>
          </w:tcPr>
          <w:p>
            <w:r>
              <w:rPr>
                <w:rFonts w:ascii="Calibri" w:hAnsi="Calibri"/>
                <w:b w:val="0"/>
                <w:i w:val="0"/>
                <w:sz w:val="18"/>
              </w:rPr>
              <w:t>MW</w:t>
            </w:r>
          </w:p>
        </w:tc>
        <w:tc>
          <w:tcPr>
            <w:tcW w:type="dxa" w:w="1824"/>
          </w:tcPr>
          <w:p>
            <w:r>
              <w:rPr>
                <w:rFonts w:ascii="Calibri" w:hAnsi="Calibri"/>
                <w:b w:val="0"/>
                <w:i w:val="0"/>
                <w:sz w:val="18"/>
              </w:rPr>
              <w:t>ECN Annual Energy Statistics; NERC plant register</w:t>
            </w:r>
          </w:p>
        </w:tc>
        <w:tc>
          <w:tcPr>
            <w:tcW w:type="dxa" w:w="1824"/>
          </w:tcPr>
          <w:p>
            <w:r>
              <w:rPr>
                <w:rFonts w:ascii="Calibri" w:hAnsi="Calibri"/>
                <w:b/>
                <w:i w:val="0"/>
                <w:color w:val="C00000"/>
                <w:sz w:val="18"/>
              </w:rPr>
              <w:t>2022–2023</w:t>
            </w:r>
          </w:p>
        </w:tc>
        <w:tc>
          <w:tcPr>
            <w:tcW w:type="dxa" w:w="1824"/>
          </w:tcPr>
          <w:p>
            <w:r>
              <w:rPr>
                <w:rFonts w:ascii="Calibri" w:hAnsi="Calibri"/>
                <w:b w:val="0"/>
                <w:i w:val="0"/>
                <w:sz w:val="18"/>
              </w:rPr>
              <w:t>Annual census of NERC-registered generation assets, by state location</w:t>
            </w:r>
          </w:p>
        </w:tc>
      </w:tr>
      <w:tr>
        <w:tc>
          <w:tcPr>
            <w:tcW w:type="dxa" w:w="1824"/>
          </w:tcPr>
          <w:p>
            <w:r>
              <w:rPr>
                <w:rFonts w:ascii="Calibri" w:hAnsi="Calibri"/>
                <w:b w:val="0"/>
                <w:i w:val="0"/>
                <w:sz w:val="18"/>
              </w:rPr>
              <w:t>Renewable Energy Installed Capacity (MW)</w:t>
            </w:r>
          </w:p>
        </w:tc>
        <w:tc>
          <w:tcPr>
            <w:tcW w:type="dxa" w:w="1824"/>
          </w:tcPr>
          <w:p>
            <w:r>
              <w:rPr>
                <w:rFonts w:ascii="Calibri" w:hAnsi="Calibri"/>
                <w:b w:val="0"/>
                <w:i w:val="0"/>
                <w:sz w:val="18"/>
              </w:rPr>
              <w:t>MW</w:t>
            </w:r>
          </w:p>
        </w:tc>
        <w:tc>
          <w:tcPr>
            <w:tcW w:type="dxa" w:w="1824"/>
          </w:tcPr>
          <w:p>
            <w:r>
              <w:rPr>
                <w:rFonts w:ascii="Calibri" w:hAnsi="Calibri"/>
                <w:b w:val="0"/>
                <w:i w:val="0"/>
                <w:sz w:val="18"/>
              </w:rPr>
              <w:t>ECN; IRENA; REA project database</w:t>
            </w:r>
          </w:p>
        </w:tc>
        <w:tc>
          <w:tcPr>
            <w:tcW w:type="dxa" w:w="1824"/>
          </w:tcPr>
          <w:p>
            <w:r>
              <w:rPr>
                <w:rFonts w:ascii="Calibri" w:hAnsi="Calibri"/>
                <w:b/>
                <w:i w:val="0"/>
                <w:color w:val="C00000"/>
                <w:sz w:val="18"/>
              </w:rPr>
              <w:t>2023–2024</w:t>
            </w:r>
          </w:p>
        </w:tc>
        <w:tc>
          <w:tcPr>
            <w:tcW w:type="dxa" w:w="1824"/>
          </w:tcPr>
          <w:p>
            <w:r>
              <w:rPr>
                <w:rFonts w:ascii="Calibri" w:hAnsi="Calibri"/>
                <w:b w:val="0"/>
                <w:i w:val="0"/>
                <w:sz w:val="18"/>
              </w:rPr>
              <w:t>Aggregation of grid + off-grid renewable assets per state</w:t>
            </w:r>
          </w:p>
        </w:tc>
      </w:tr>
      <w:tr>
        <w:tc>
          <w:tcPr>
            <w:tcW w:type="dxa" w:w="1824"/>
          </w:tcPr>
          <w:p>
            <w:r>
              <w:rPr>
                <w:rFonts w:ascii="Calibri" w:hAnsi="Calibri"/>
                <w:b w:val="0"/>
                <w:i w:val="0"/>
                <w:sz w:val="18"/>
              </w:rPr>
              <w:t>Solar Irradiation / GHI (kWh/m²/day)</w:t>
            </w:r>
          </w:p>
        </w:tc>
        <w:tc>
          <w:tcPr>
            <w:tcW w:type="dxa" w:w="1824"/>
          </w:tcPr>
          <w:p>
            <w:r>
              <w:rPr>
                <w:rFonts w:ascii="Calibri" w:hAnsi="Calibri"/>
                <w:b w:val="0"/>
                <w:i w:val="0"/>
                <w:sz w:val="18"/>
              </w:rPr>
              <w:t>kWh/m²/day</w:t>
            </w:r>
          </w:p>
        </w:tc>
        <w:tc>
          <w:tcPr>
            <w:tcW w:type="dxa" w:w="1824"/>
          </w:tcPr>
          <w:p>
            <w:r>
              <w:rPr>
                <w:rFonts w:ascii="Calibri" w:hAnsi="Calibri"/>
                <w:b w:val="0"/>
                <w:i w:val="0"/>
                <w:sz w:val="18"/>
              </w:rPr>
              <w:t>NIMET weather stations; NASA POWER; IRENA Global Atlas</w:t>
            </w:r>
          </w:p>
        </w:tc>
        <w:tc>
          <w:tcPr>
            <w:tcW w:type="dxa" w:w="1824"/>
          </w:tcPr>
          <w:p>
            <w:r>
              <w:rPr>
                <w:rFonts w:ascii="Calibri" w:hAnsi="Calibri"/>
                <w:b/>
                <w:i w:val="0"/>
                <w:color w:val="C00000"/>
                <w:sz w:val="18"/>
              </w:rPr>
              <w:t>2008–2022 average</w:t>
            </w:r>
          </w:p>
        </w:tc>
        <w:tc>
          <w:tcPr>
            <w:tcW w:type="dxa" w:w="1824"/>
          </w:tcPr>
          <w:p>
            <w:r>
              <w:rPr>
                <w:rFonts w:ascii="Calibri" w:hAnsi="Calibri"/>
                <w:b w:val="0"/>
                <w:i w:val="0"/>
                <w:sz w:val="18"/>
              </w:rPr>
              <w:t>Multi-year average GHI from ground stations and satellite validation</w:t>
            </w:r>
          </w:p>
        </w:tc>
      </w:tr>
      <w:tr>
        <w:tc>
          <w:tcPr>
            <w:tcW w:type="dxa" w:w="1824"/>
          </w:tcPr>
          <w:p>
            <w:r>
              <w:rPr>
                <w:rFonts w:ascii="Calibri" w:hAnsi="Calibri"/>
                <w:b w:val="0"/>
                <w:i w:val="0"/>
                <w:sz w:val="18"/>
              </w:rPr>
              <w:t>Wind Speed (m/s)</w:t>
            </w:r>
          </w:p>
        </w:tc>
        <w:tc>
          <w:tcPr>
            <w:tcW w:type="dxa" w:w="1824"/>
          </w:tcPr>
          <w:p>
            <w:r>
              <w:rPr>
                <w:rFonts w:ascii="Calibri" w:hAnsi="Calibri"/>
                <w:b w:val="0"/>
                <w:i w:val="0"/>
                <w:sz w:val="18"/>
              </w:rPr>
              <w:t>m/s</w:t>
            </w:r>
          </w:p>
        </w:tc>
        <w:tc>
          <w:tcPr>
            <w:tcW w:type="dxa" w:w="1824"/>
          </w:tcPr>
          <w:p>
            <w:r>
              <w:rPr>
                <w:rFonts w:ascii="Calibri" w:hAnsi="Calibri"/>
                <w:b w:val="0"/>
                <w:i w:val="0"/>
                <w:sz w:val="18"/>
              </w:rPr>
              <w:t>NIMET 15-year historical archive; Weibull analysis</w:t>
            </w:r>
          </w:p>
        </w:tc>
        <w:tc>
          <w:tcPr>
            <w:tcW w:type="dxa" w:w="1824"/>
          </w:tcPr>
          <w:p>
            <w:r>
              <w:rPr>
                <w:rFonts w:ascii="Calibri" w:hAnsi="Calibri"/>
                <w:b/>
                <w:i w:val="0"/>
                <w:color w:val="C00000"/>
                <w:sz w:val="18"/>
              </w:rPr>
              <w:t>2008–2022 average (hourly: 2018–2022)</w:t>
            </w:r>
          </w:p>
        </w:tc>
        <w:tc>
          <w:tcPr>
            <w:tcW w:type="dxa" w:w="1824"/>
          </w:tcPr>
          <w:p>
            <w:r>
              <w:rPr>
                <w:rFonts w:ascii="Calibri" w:hAnsi="Calibri"/>
                <w:b w:val="0"/>
                <w:i w:val="0"/>
                <w:sz w:val="18"/>
              </w:rPr>
              <w:t>Annual average wind speed at 10 m, Weibull distribution + GIS interpolation</w:t>
            </w:r>
          </w:p>
        </w:tc>
      </w:tr>
      <w:tr>
        <w:tc>
          <w:tcPr>
            <w:tcW w:type="dxa" w:w="1824"/>
          </w:tcPr>
          <w:p>
            <w:r>
              <w:rPr>
                <w:rFonts w:ascii="Calibri" w:hAnsi="Calibri"/>
                <w:b w:val="0"/>
                <w:i w:val="0"/>
                <w:sz w:val="18"/>
              </w:rPr>
              <w:t>Primary Energy Consumption (ktoe)</w:t>
            </w:r>
          </w:p>
        </w:tc>
        <w:tc>
          <w:tcPr>
            <w:tcW w:type="dxa" w:w="1824"/>
          </w:tcPr>
          <w:p>
            <w:r>
              <w:rPr>
                <w:rFonts w:ascii="Calibri" w:hAnsi="Calibri"/>
                <w:b w:val="0"/>
                <w:i w:val="0"/>
                <w:sz w:val="18"/>
              </w:rPr>
              <w:t>ktoe</w:t>
            </w:r>
          </w:p>
        </w:tc>
        <w:tc>
          <w:tcPr>
            <w:tcW w:type="dxa" w:w="1824"/>
          </w:tcPr>
          <w:p>
            <w:r>
              <w:rPr>
                <w:rFonts w:ascii="Calibri" w:hAnsi="Calibri"/>
                <w:b w:val="0"/>
                <w:i w:val="0"/>
                <w:sz w:val="18"/>
              </w:rPr>
              <w:t>IEA; ECN Annual Energy Statistics</w:t>
            </w:r>
          </w:p>
        </w:tc>
        <w:tc>
          <w:tcPr>
            <w:tcW w:type="dxa" w:w="1824"/>
          </w:tcPr>
          <w:p>
            <w:r>
              <w:rPr>
                <w:rFonts w:ascii="Calibri" w:hAnsi="Calibri"/>
                <w:b/>
                <w:i w:val="0"/>
                <w:color w:val="C00000"/>
                <w:sz w:val="18"/>
              </w:rPr>
              <w:t>2022</w:t>
            </w:r>
          </w:p>
        </w:tc>
        <w:tc>
          <w:tcPr>
            <w:tcW w:type="dxa" w:w="1824"/>
          </w:tcPr>
          <w:p>
            <w:r>
              <w:rPr>
                <w:rFonts w:ascii="Calibri" w:hAnsi="Calibri"/>
                <w:b w:val="0"/>
                <w:i w:val="0"/>
                <w:sz w:val="18"/>
              </w:rPr>
              <w:t>National statistics disaggregated using GDP, population, industrial output proxies</w:t>
            </w:r>
          </w:p>
        </w:tc>
      </w:tr>
      <w:tr>
        <w:tc>
          <w:tcPr>
            <w:tcW w:type="dxa" w:w="1824"/>
          </w:tcPr>
          <w:p>
            <w:r>
              <w:rPr>
                <w:rFonts w:ascii="Calibri" w:hAnsi="Calibri"/>
                <w:b w:val="0"/>
                <w:i w:val="0"/>
                <w:sz w:val="18"/>
              </w:rPr>
              <w:t>Electricity Consumption per Capita (kWh)</w:t>
            </w:r>
          </w:p>
        </w:tc>
        <w:tc>
          <w:tcPr>
            <w:tcW w:type="dxa" w:w="1824"/>
          </w:tcPr>
          <w:p>
            <w:r>
              <w:rPr>
                <w:rFonts w:ascii="Calibri" w:hAnsi="Calibri"/>
                <w:b w:val="0"/>
                <w:i w:val="0"/>
                <w:sz w:val="18"/>
              </w:rPr>
              <w:t>kWh/capita</w:t>
            </w:r>
          </w:p>
        </w:tc>
        <w:tc>
          <w:tcPr>
            <w:tcW w:type="dxa" w:w="1824"/>
          </w:tcPr>
          <w:p>
            <w:r>
              <w:rPr>
                <w:rFonts w:ascii="Calibri" w:hAnsi="Calibri"/>
                <w:b w:val="0"/>
                <w:i w:val="0"/>
                <w:sz w:val="18"/>
              </w:rPr>
              <w:t>NBS Electricity Report Q2 2024; World Bank WDI</w:t>
            </w:r>
          </w:p>
        </w:tc>
        <w:tc>
          <w:tcPr>
            <w:tcW w:type="dxa" w:w="1824"/>
          </w:tcPr>
          <w:p>
            <w:r>
              <w:rPr>
                <w:rFonts w:ascii="Calibri" w:hAnsi="Calibri"/>
                <w:b/>
                <w:i w:val="0"/>
                <w:color w:val="C00000"/>
                <w:sz w:val="18"/>
              </w:rPr>
              <w:t>2024 (Q2); 2022 (WDI baseline)</w:t>
            </w:r>
          </w:p>
        </w:tc>
        <w:tc>
          <w:tcPr>
            <w:tcW w:type="dxa" w:w="1824"/>
          </w:tcPr>
          <w:p>
            <w:r>
              <w:rPr>
                <w:rFonts w:ascii="Calibri" w:hAnsi="Calibri"/>
                <w:b w:val="0"/>
                <w:i w:val="0"/>
                <w:sz w:val="18"/>
              </w:rPr>
              <w:t>State energy supplied ÷ state population estimate</w:t>
            </w:r>
          </w:p>
        </w:tc>
      </w:tr>
      <w:tr>
        <w:tc>
          <w:tcPr>
            <w:tcW w:type="dxa" w:w="1824"/>
          </w:tcPr>
          <w:p>
            <w:r>
              <w:rPr>
                <w:rFonts w:ascii="Calibri" w:hAnsi="Calibri"/>
                <w:b w:val="0"/>
                <w:i w:val="0"/>
                <w:sz w:val="18"/>
              </w:rPr>
              <w:t>Mini-Grid and Off-Grid Deployments</w:t>
            </w:r>
          </w:p>
        </w:tc>
        <w:tc>
          <w:tcPr>
            <w:tcW w:type="dxa" w:w="1824"/>
          </w:tcPr>
          <w:p>
            <w:r>
              <w:rPr>
                <w:rFonts w:ascii="Calibri" w:hAnsi="Calibri"/>
                <w:b w:val="0"/>
                <w:i w:val="0"/>
                <w:sz w:val="18"/>
              </w:rPr>
              <w:t>No. of systems</w:t>
            </w:r>
          </w:p>
        </w:tc>
        <w:tc>
          <w:tcPr>
            <w:tcW w:type="dxa" w:w="1824"/>
          </w:tcPr>
          <w:p>
            <w:r>
              <w:rPr>
                <w:rFonts w:ascii="Calibri" w:hAnsi="Calibri"/>
                <w:b w:val="0"/>
                <w:i w:val="0"/>
                <w:sz w:val="18"/>
              </w:rPr>
              <w:t>REA Nigerian Energy Database (NED)</w:t>
            </w:r>
          </w:p>
        </w:tc>
        <w:tc>
          <w:tcPr>
            <w:tcW w:type="dxa" w:w="1824"/>
          </w:tcPr>
          <w:p>
            <w:r>
              <w:rPr>
                <w:rFonts w:ascii="Calibri" w:hAnsi="Calibri"/>
                <w:b/>
                <w:i w:val="0"/>
                <w:color w:val="C00000"/>
                <w:sz w:val="18"/>
              </w:rPr>
              <w:t>2023–2024</w:t>
            </w:r>
          </w:p>
        </w:tc>
        <w:tc>
          <w:tcPr>
            <w:tcW w:type="dxa" w:w="1824"/>
          </w:tcPr>
          <w:p>
            <w:r>
              <w:rPr>
                <w:rFonts w:ascii="Calibri" w:hAnsi="Calibri"/>
                <w:b w:val="0"/>
                <w:i w:val="0"/>
                <w:sz w:val="18"/>
              </w:rPr>
              <w:t>Administrative count from REA geospatial database across all LGAs</w:t>
            </w:r>
          </w:p>
        </w:tc>
      </w:tr>
      <w:tr>
        <w:tc>
          <w:tcPr>
            <w:tcW w:type="dxa" w:w="1824"/>
          </w:tcPr>
          <w:p>
            <w:r>
              <w:rPr>
                <w:rFonts w:ascii="Calibri" w:hAnsi="Calibri"/>
                <w:b w:val="0"/>
                <w:i w:val="0"/>
                <w:sz w:val="18"/>
              </w:rPr>
              <w:t>State Population (Total)</w:t>
            </w:r>
          </w:p>
        </w:tc>
        <w:tc>
          <w:tcPr>
            <w:tcW w:type="dxa" w:w="1824"/>
          </w:tcPr>
          <w:p>
            <w:r>
              <w:rPr>
                <w:rFonts w:ascii="Calibri" w:hAnsi="Calibri"/>
                <w:b w:val="0"/>
                <w:i w:val="0"/>
                <w:sz w:val="18"/>
              </w:rPr>
              <w:t>Persons</w:t>
            </w:r>
          </w:p>
        </w:tc>
        <w:tc>
          <w:tcPr>
            <w:tcW w:type="dxa" w:w="1824"/>
          </w:tcPr>
          <w:p>
            <w:r>
              <w:rPr>
                <w:rFonts w:ascii="Calibri" w:hAnsi="Calibri"/>
                <w:b w:val="0"/>
                <w:i w:val="0"/>
                <w:sz w:val="18"/>
              </w:rPr>
              <w:t>NBS 2006 Census; NBS annual projection</w:t>
            </w:r>
          </w:p>
        </w:tc>
        <w:tc>
          <w:tcPr>
            <w:tcW w:type="dxa" w:w="1824"/>
          </w:tcPr>
          <w:p>
            <w:r>
              <w:rPr>
                <w:rFonts w:ascii="Calibri" w:hAnsi="Calibri"/>
                <w:b/>
                <w:i w:val="0"/>
                <w:color w:val="C00000"/>
                <w:sz w:val="18"/>
              </w:rPr>
              <w:t>2023 (projected)</w:t>
            </w:r>
          </w:p>
        </w:tc>
        <w:tc>
          <w:tcPr>
            <w:tcW w:type="dxa" w:w="1824"/>
          </w:tcPr>
          <w:p>
            <w:r>
              <w:rPr>
                <w:rFonts w:ascii="Calibri" w:hAnsi="Calibri"/>
                <w:b w:val="0"/>
                <w:i w:val="0"/>
                <w:sz w:val="18"/>
              </w:rPr>
              <w:t>2006 census extrapolated using NBS state-specific annual growth rates</w:t>
            </w:r>
          </w:p>
        </w:tc>
      </w:tr>
      <w:tr>
        <w:tc>
          <w:tcPr>
            <w:tcW w:type="dxa" w:w="1824"/>
          </w:tcPr>
          <w:p>
            <w:r>
              <w:rPr>
                <w:rFonts w:ascii="Calibri" w:hAnsi="Calibri"/>
                <w:b w:val="0"/>
                <w:i w:val="0"/>
                <w:sz w:val="18"/>
              </w:rPr>
              <w:t>State GDP / Economic Activity Proxy</w:t>
            </w:r>
          </w:p>
        </w:tc>
        <w:tc>
          <w:tcPr>
            <w:tcW w:type="dxa" w:w="1824"/>
          </w:tcPr>
          <w:p>
            <w:r>
              <w:rPr>
                <w:rFonts w:ascii="Calibri" w:hAnsi="Calibri"/>
                <w:b w:val="0"/>
                <w:i w:val="0"/>
                <w:sz w:val="18"/>
              </w:rPr>
              <w:t>₦ billion</w:t>
            </w:r>
          </w:p>
        </w:tc>
        <w:tc>
          <w:tcPr>
            <w:tcW w:type="dxa" w:w="1824"/>
          </w:tcPr>
          <w:p>
            <w:r>
              <w:rPr>
                <w:rFonts w:ascii="Calibri" w:hAnsi="Calibri"/>
                <w:b w:val="0"/>
                <w:i w:val="0"/>
                <w:sz w:val="18"/>
              </w:rPr>
              <w:t>NBS GDP Report (state disaggregation)</w:t>
            </w:r>
          </w:p>
        </w:tc>
        <w:tc>
          <w:tcPr>
            <w:tcW w:type="dxa" w:w="1824"/>
          </w:tcPr>
          <w:p>
            <w:r>
              <w:rPr>
                <w:rFonts w:ascii="Calibri" w:hAnsi="Calibri"/>
                <w:b/>
                <w:i w:val="0"/>
                <w:color w:val="C00000"/>
                <w:sz w:val="18"/>
              </w:rPr>
              <w:t>2022–2023</w:t>
            </w:r>
          </w:p>
        </w:tc>
        <w:tc>
          <w:tcPr>
            <w:tcW w:type="dxa" w:w="1824"/>
          </w:tcPr>
          <w:p>
            <w:r>
              <w:rPr>
                <w:rFonts w:ascii="Calibri" w:hAnsi="Calibri"/>
                <w:b w:val="0"/>
                <w:i w:val="0"/>
                <w:sz w:val="18"/>
              </w:rPr>
              <w:t>NBS quarterly GDP, state-level breakdown using survey + sectoral proxies</w:t>
            </w:r>
          </w:p>
        </w:tc>
      </w:tr>
    </w:tbl>
    <w:p/>
    <w:p>
      <w:pPr>
        <w:spacing w:before="240" w:after="120"/>
      </w:pPr>
      <w:r>
        <w:rPr>
          <w:rFonts w:ascii="Calibri" w:hAnsi="Calibri"/>
          <w:b/>
          <w:i w:val="0"/>
          <w:color w:val="1F497D"/>
          <w:sz w:val="24"/>
        </w:rPr>
        <w:t>4.  State Coverage Validation</w:t>
      </w:r>
    </w:p>
    <w:p>
      <w:pPr>
        <w:spacing w:before="60" w:after="80"/>
      </w:pPr>
      <w:r>
        <w:rPr>
          <w:rFonts w:ascii="Calibri" w:hAnsi="Calibri"/>
          <w:b w:val="0"/>
          <w:i w:val="0"/>
          <w:sz w:val="21"/>
        </w:rPr>
        <w:t>The dataset covers all 36 states of the Federal Republic of Nigeria and the Federal Capital Territory (FCT), Abuja — a total of 37 administrative units. State-level disaggregation uses DisCo service-area mapping, geospatial proxy modelling, and REA community-level records.</w:t>
      </w:r>
    </w:p>
    <w:p>
      <w:pPr>
        <w:spacing w:before="160" w:after="80"/>
      </w:pPr>
      <w:r>
        <w:rPr>
          <w:rFonts w:ascii="Calibri" w:hAnsi="Calibri"/>
          <w:b/>
          <w:i w:val="0"/>
          <w:color w:val="00467F"/>
          <w:sz w:val="22"/>
        </w:rPr>
        <w:t>DisCo-to-State Mapping (Reference: NERC Q2 2024)</w:t>
      </w:r>
    </w:p>
    <w:tbl>
      <w:tblPr>
        <w:tblStyle w:val="TableGrid"/>
        <w:tblW w:type="auto" w:w="0"/>
        <w:tblLook w:firstColumn="1" w:firstRow="1" w:lastColumn="0" w:lastRow="0" w:noHBand="0" w:noVBand="1" w:val="04A0"/>
      </w:tblPr>
      <w:tblGrid>
        <w:gridCol w:w="4561"/>
        <w:gridCol w:w="4561"/>
      </w:tblGrid>
      <w:tr>
        <w:tc>
          <w:tcPr>
            <w:tcW w:type="dxa" w:w="4561"/>
            <w:shd w:val="clear" w:color="auto" w:fill="17375E"/>
          </w:tcPr>
          <w:p>
            <w:r>
              <w:rPr>
                <w:rFonts w:ascii="Calibri" w:hAnsi="Calibri"/>
                <w:b/>
                <w:i w:val="0"/>
                <w:color w:val="FFFFFF"/>
                <w:sz w:val="20"/>
              </w:rPr>
              <w:t>DisCo</w:t>
            </w:r>
          </w:p>
        </w:tc>
        <w:tc>
          <w:tcPr>
            <w:tcW w:type="dxa" w:w="4561"/>
            <w:shd w:val="clear" w:color="auto" w:fill="17375E"/>
          </w:tcPr>
          <w:p>
            <w:r>
              <w:rPr>
                <w:rFonts w:ascii="Calibri" w:hAnsi="Calibri"/>
                <w:b/>
                <w:i w:val="0"/>
                <w:color w:val="FFFFFF"/>
                <w:sz w:val="20"/>
              </w:rPr>
              <w:t>States Served</w:t>
            </w:r>
          </w:p>
        </w:tc>
      </w:tr>
      <w:tr>
        <w:tc>
          <w:tcPr>
            <w:tcW w:type="dxa" w:w="4561"/>
          </w:tcPr>
          <w:p>
            <w:r>
              <w:rPr>
                <w:rFonts w:ascii="Calibri" w:hAnsi="Calibri"/>
                <w:b w:val="0"/>
                <w:i w:val="0"/>
                <w:sz w:val="19"/>
              </w:rPr>
              <w:t>Abuja DisCo (AEDC)</w:t>
            </w:r>
          </w:p>
        </w:tc>
        <w:tc>
          <w:tcPr>
            <w:tcW w:type="dxa" w:w="4561"/>
          </w:tcPr>
          <w:p>
            <w:r>
              <w:rPr>
                <w:rFonts w:ascii="Calibri" w:hAnsi="Calibri"/>
                <w:b w:val="0"/>
                <w:i w:val="0"/>
                <w:sz w:val="19"/>
              </w:rPr>
              <w:t>FCT, Niger, Kogi, Nassarawa</w:t>
            </w:r>
          </w:p>
        </w:tc>
      </w:tr>
      <w:tr>
        <w:tc>
          <w:tcPr>
            <w:tcW w:type="dxa" w:w="4561"/>
          </w:tcPr>
          <w:p>
            <w:r>
              <w:rPr>
                <w:rFonts w:ascii="Calibri" w:hAnsi="Calibri"/>
                <w:b w:val="0"/>
                <w:i w:val="0"/>
                <w:sz w:val="19"/>
              </w:rPr>
              <w:t>Eko DisCo (EKEDC)</w:t>
            </w:r>
          </w:p>
        </w:tc>
        <w:tc>
          <w:tcPr>
            <w:tcW w:type="dxa" w:w="4561"/>
          </w:tcPr>
          <w:p>
            <w:r>
              <w:rPr>
                <w:rFonts w:ascii="Calibri" w:hAnsi="Calibri"/>
                <w:b w:val="0"/>
                <w:i w:val="0"/>
                <w:sz w:val="19"/>
              </w:rPr>
              <w:t>Lagos South / Eti-Osa axis</w:t>
            </w:r>
          </w:p>
        </w:tc>
      </w:tr>
      <w:tr>
        <w:tc>
          <w:tcPr>
            <w:tcW w:type="dxa" w:w="4561"/>
          </w:tcPr>
          <w:p>
            <w:r>
              <w:rPr>
                <w:rFonts w:ascii="Calibri" w:hAnsi="Calibri"/>
                <w:b w:val="0"/>
                <w:i w:val="0"/>
                <w:sz w:val="19"/>
              </w:rPr>
              <w:t>Ikeja DisCo (IKEDC)</w:t>
            </w:r>
          </w:p>
        </w:tc>
        <w:tc>
          <w:tcPr>
            <w:tcW w:type="dxa" w:w="4561"/>
          </w:tcPr>
          <w:p>
            <w:r>
              <w:rPr>
                <w:rFonts w:ascii="Calibri" w:hAnsi="Calibri"/>
                <w:b w:val="0"/>
                <w:i w:val="0"/>
                <w:sz w:val="19"/>
              </w:rPr>
              <w:t>Lagos Mainland / Ikeja axis</w:t>
            </w:r>
          </w:p>
        </w:tc>
      </w:tr>
      <w:tr>
        <w:tc>
          <w:tcPr>
            <w:tcW w:type="dxa" w:w="4561"/>
          </w:tcPr>
          <w:p>
            <w:r>
              <w:rPr>
                <w:rFonts w:ascii="Calibri" w:hAnsi="Calibri"/>
                <w:b w:val="0"/>
                <w:i w:val="0"/>
                <w:sz w:val="19"/>
              </w:rPr>
              <w:t>Lagos (weighted blend)</w:t>
            </w:r>
          </w:p>
        </w:tc>
        <w:tc>
          <w:tcPr>
            <w:tcW w:type="dxa" w:w="4561"/>
          </w:tcPr>
          <w:p>
            <w:r>
              <w:rPr>
                <w:rFonts w:ascii="Calibri" w:hAnsi="Calibri"/>
                <w:b w:val="0"/>
                <w:i w:val="0"/>
                <w:sz w:val="19"/>
              </w:rPr>
              <w:t>Eko DisCo + Ikeja DisCo weighted by customer count</w:t>
            </w:r>
          </w:p>
        </w:tc>
      </w:tr>
      <w:tr>
        <w:tc>
          <w:tcPr>
            <w:tcW w:type="dxa" w:w="4561"/>
          </w:tcPr>
          <w:p>
            <w:r>
              <w:rPr>
                <w:rFonts w:ascii="Calibri" w:hAnsi="Calibri"/>
                <w:b w:val="0"/>
                <w:i w:val="0"/>
                <w:sz w:val="19"/>
              </w:rPr>
              <w:t>Ibadan DisCo (IBEDC)</w:t>
            </w:r>
          </w:p>
        </w:tc>
        <w:tc>
          <w:tcPr>
            <w:tcW w:type="dxa" w:w="4561"/>
          </w:tcPr>
          <w:p>
            <w:r>
              <w:rPr>
                <w:rFonts w:ascii="Calibri" w:hAnsi="Calibri"/>
                <w:b w:val="0"/>
                <w:i w:val="0"/>
                <w:sz w:val="19"/>
              </w:rPr>
              <w:t>Oyo, Osun, Ogun (partial), Kwara</w:t>
            </w:r>
          </w:p>
        </w:tc>
      </w:tr>
      <w:tr>
        <w:tc>
          <w:tcPr>
            <w:tcW w:type="dxa" w:w="4561"/>
          </w:tcPr>
          <w:p>
            <w:r>
              <w:rPr>
                <w:rFonts w:ascii="Calibri" w:hAnsi="Calibri"/>
                <w:b w:val="0"/>
                <w:i w:val="0"/>
                <w:sz w:val="19"/>
              </w:rPr>
              <w:t>Ogun (weighted blend)</w:t>
            </w:r>
          </w:p>
        </w:tc>
        <w:tc>
          <w:tcPr>
            <w:tcW w:type="dxa" w:w="4561"/>
          </w:tcPr>
          <w:p>
            <w:r>
              <w:rPr>
                <w:rFonts w:ascii="Calibri" w:hAnsi="Calibri"/>
                <w:b w:val="0"/>
                <w:i w:val="0"/>
                <w:sz w:val="19"/>
              </w:rPr>
              <w:t>Ibadan DisCo + Benin DisCo weighted by customer count</w:t>
            </w:r>
          </w:p>
        </w:tc>
      </w:tr>
      <w:tr>
        <w:tc>
          <w:tcPr>
            <w:tcW w:type="dxa" w:w="4561"/>
          </w:tcPr>
          <w:p>
            <w:r>
              <w:rPr>
                <w:rFonts w:ascii="Calibri" w:hAnsi="Calibri"/>
                <w:b w:val="0"/>
                <w:i w:val="0"/>
                <w:sz w:val="19"/>
              </w:rPr>
              <w:t>Benin DisCo (BEDC)</w:t>
            </w:r>
          </w:p>
        </w:tc>
        <w:tc>
          <w:tcPr>
            <w:tcW w:type="dxa" w:w="4561"/>
          </w:tcPr>
          <w:p>
            <w:r>
              <w:rPr>
                <w:rFonts w:ascii="Calibri" w:hAnsi="Calibri"/>
                <w:b w:val="0"/>
                <w:i w:val="0"/>
                <w:sz w:val="19"/>
              </w:rPr>
              <w:t>Edo, Delta, Ondo, Ekiti</w:t>
            </w:r>
          </w:p>
        </w:tc>
      </w:tr>
      <w:tr>
        <w:tc>
          <w:tcPr>
            <w:tcW w:type="dxa" w:w="4561"/>
          </w:tcPr>
          <w:p>
            <w:r>
              <w:rPr>
                <w:rFonts w:ascii="Calibri" w:hAnsi="Calibri"/>
                <w:b w:val="0"/>
                <w:i w:val="0"/>
                <w:sz w:val="19"/>
              </w:rPr>
              <w:t>Enugu DisCo (EEDC)</w:t>
            </w:r>
          </w:p>
        </w:tc>
        <w:tc>
          <w:tcPr>
            <w:tcW w:type="dxa" w:w="4561"/>
          </w:tcPr>
          <w:p>
            <w:r>
              <w:rPr>
                <w:rFonts w:ascii="Calibri" w:hAnsi="Calibri"/>
                <w:b w:val="0"/>
                <w:i w:val="0"/>
                <w:sz w:val="19"/>
              </w:rPr>
              <w:t>Enugu, Anambra, Imo, Abia, Ebonyi</w:t>
            </w:r>
          </w:p>
        </w:tc>
      </w:tr>
      <w:tr>
        <w:tc>
          <w:tcPr>
            <w:tcW w:type="dxa" w:w="4561"/>
          </w:tcPr>
          <w:p>
            <w:r>
              <w:rPr>
                <w:rFonts w:ascii="Calibri" w:hAnsi="Calibri"/>
                <w:b w:val="0"/>
                <w:i w:val="0"/>
                <w:sz w:val="19"/>
              </w:rPr>
              <w:t>Port Harcourt DisCo (PHED)</w:t>
            </w:r>
          </w:p>
        </w:tc>
        <w:tc>
          <w:tcPr>
            <w:tcW w:type="dxa" w:w="4561"/>
          </w:tcPr>
          <w:p>
            <w:r>
              <w:rPr>
                <w:rFonts w:ascii="Calibri" w:hAnsi="Calibri"/>
                <w:b w:val="0"/>
                <w:i w:val="0"/>
                <w:sz w:val="19"/>
              </w:rPr>
              <w:t>Rivers, Bayelsa, Cross River, Akwa Ibom</w:t>
            </w:r>
          </w:p>
        </w:tc>
      </w:tr>
      <w:tr>
        <w:tc>
          <w:tcPr>
            <w:tcW w:type="dxa" w:w="4561"/>
          </w:tcPr>
          <w:p>
            <w:r>
              <w:rPr>
                <w:rFonts w:ascii="Calibri" w:hAnsi="Calibri"/>
                <w:b w:val="0"/>
                <w:i w:val="0"/>
                <w:sz w:val="19"/>
              </w:rPr>
              <w:t>Jos DisCo (JED)</w:t>
            </w:r>
          </w:p>
        </w:tc>
        <w:tc>
          <w:tcPr>
            <w:tcW w:type="dxa" w:w="4561"/>
          </w:tcPr>
          <w:p>
            <w:r>
              <w:rPr>
                <w:rFonts w:ascii="Calibri" w:hAnsi="Calibri"/>
                <w:b w:val="0"/>
                <w:i w:val="0"/>
                <w:sz w:val="19"/>
              </w:rPr>
              <w:t>Plateau, Benue, Taraba, Gombe (partial)</w:t>
            </w:r>
          </w:p>
        </w:tc>
      </w:tr>
      <w:tr>
        <w:tc>
          <w:tcPr>
            <w:tcW w:type="dxa" w:w="4561"/>
          </w:tcPr>
          <w:p>
            <w:r>
              <w:rPr>
                <w:rFonts w:ascii="Calibri" w:hAnsi="Calibri"/>
                <w:b w:val="0"/>
                <w:i w:val="0"/>
                <w:sz w:val="19"/>
              </w:rPr>
              <w:t>Kaduna DisCo (KAEDCO)</w:t>
            </w:r>
          </w:p>
        </w:tc>
        <w:tc>
          <w:tcPr>
            <w:tcW w:type="dxa" w:w="4561"/>
          </w:tcPr>
          <w:p>
            <w:r>
              <w:rPr>
                <w:rFonts w:ascii="Calibri" w:hAnsi="Calibri"/>
                <w:b w:val="0"/>
                <w:i w:val="0"/>
                <w:sz w:val="19"/>
              </w:rPr>
              <w:t>Kaduna, Kebbi, Sokoto, Zamfara</w:t>
            </w:r>
          </w:p>
        </w:tc>
      </w:tr>
      <w:tr>
        <w:tc>
          <w:tcPr>
            <w:tcW w:type="dxa" w:w="4561"/>
          </w:tcPr>
          <w:p>
            <w:r>
              <w:rPr>
                <w:rFonts w:ascii="Calibri" w:hAnsi="Calibri"/>
                <w:b w:val="0"/>
                <w:i w:val="0"/>
                <w:sz w:val="19"/>
              </w:rPr>
              <w:t>Kano DisCo (KEDCO)</w:t>
            </w:r>
          </w:p>
        </w:tc>
        <w:tc>
          <w:tcPr>
            <w:tcW w:type="dxa" w:w="4561"/>
          </w:tcPr>
          <w:p>
            <w:r>
              <w:rPr>
                <w:rFonts w:ascii="Calibri" w:hAnsi="Calibri"/>
                <w:b w:val="0"/>
                <w:i w:val="0"/>
                <w:sz w:val="19"/>
              </w:rPr>
              <w:t>Kano, Katsina, Jigawa</w:t>
            </w:r>
          </w:p>
        </w:tc>
      </w:tr>
      <w:tr>
        <w:tc>
          <w:tcPr>
            <w:tcW w:type="dxa" w:w="4561"/>
          </w:tcPr>
          <w:p>
            <w:r>
              <w:rPr>
                <w:rFonts w:ascii="Calibri" w:hAnsi="Calibri"/>
                <w:b w:val="0"/>
                <w:i w:val="0"/>
                <w:sz w:val="19"/>
              </w:rPr>
              <w:t>Yola DisCo (YEDC)</w:t>
            </w:r>
          </w:p>
        </w:tc>
        <w:tc>
          <w:tcPr>
            <w:tcW w:type="dxa" w:w="4561"/>
          </w:tcPr>
          <w:p>
            <w:r>
              <w:rPr>
                <w:rFonts w:ascii="Calibri" w:hAnsi="Calibri"/>
                <w:b w:val="0"/>
                <w:i w:val="0"/>
                <w:sz w:val="19"/>
              </w:rPr>
              <w:t>Adamawa, Borno, Yobe, Gombe (partial)</w:t>
            </w:r>
          </w:p>
        </w:tc>
      </w:tr>
    </w:tbl>
    <w:p/>
    <w:p>
      <w:pPr>
        <w:spacing w:before="240" w:after="120"/>
      </w:pPr>
      <w:r>
        <w:rPr>
          <w:rFonts w:ascii="Calibri" w:hAnsi="Calibri"/>
          <w:b/>
          <w:i w:val="0"/>
          <w:color w:val="1F497D"/>
          <w:sz w:val="24"/>
        </w:rPr>
        <w:t>5.  Data Construction Methodology</w:t>
      </w:r>
    </w:p>
    <w:p>
      <w:pPr>
        <w:spacing w:before="160" w:after="80"/>
      </w:pPr>
      <w:r>
        <w:rPr>
          <w:rFonts w:ascii="Calibri" w:hAnsi="Calibri"/>
          <w:b/>
          <w:i w:val="0"/>
          <w:color w:val="00467F"/>
          <w:sz w:val="22"/>
        </w:rPr>
        <w:t>5.1  Electricity Access Rate (Reference Year: 2022–2024)</w:t>
      </w:r>
    </w:p>
    <w:p>
      <w:pPr>
        <w:spacing w:before="60" w:after="80"/>
      </w:pPr>
      <w:r>
        <w:rPr>
          <w:rFonts w:ascii="Calibri" w:hAnsi="Calibri"/>
          <w:b w:val="0"/>
          <w:i w:val="0"/>
          <w:sz w:val="21"/>
        </w:rPr>
        <w:t>The World Bank / ESMAP 2022 national electricity access rate (61.2%) anchors the state-level disaggregation. The NBS GHS Panel Wave 5 (2023/24) provides supplementary household-level access signals. State proxies are modelled using the following weighted components:</w:t>
      </w:r>
    </w:p>
    <w:p>
      <w:pPr>
        <w:pStyle w:val="ListBullet"/>
        <w:spacing w:before="40" w:after="40"/>
      </w:pPr>
      <w:r>
        <w:rPr>
          <w:rFonts w:ascii="Calibri" w:hAnsi="Calibri"/>
          <w:b w:val="0"/>
          <w:i w:val="0"/>
          <w:sz w:val="21"/>
        </w:rPr>
        <w:t>35% — Night-time lights satellite index (VIIRS/DMSP-OLS; most recent available year)</w:t>
      </w:r>
    </w:p>
    <w:p>
      <w:pPr>
        <w:pStyle w:val="ListBullet"/>
        <w:spacing w:before="40" w:after="40"/>
      </w:pPr>
      <w:r>
        <w:rPr>
          <w:rFonts w:ascii="Calibri" w:hAnsi="Calibri"/>
          <w:b w:val="0"/>
          <w:i w:val="0"/>
          <w:sz w:val="21"/>
        </w:rPr>
        <w:t>25% — Grid proximity index (distance to nearest transmission/distribution line)</w:t>
      </w:r>
    </w:p>
    <w:p>
      <w:pPr>
        <w:pStyle w:val="ListBullet"/>
        <w:spacing w:before="40" w:after="40"/>
      </w:pPr>
      <w:r>
        <w:rPr>
          <w:rFonts w:ascii="Calibri" w:hAnsi="Calibri"/>
          <w:b w:val="0"/>
          <w:i w:val="0"/>
          <w:sz w:val="21"/>
        </w:rPr>
        <w:t>20% — Urban population share (NBS state urbanisation ratio, 2023 projection)</w:t>
      </w:r>
    </w:p>
    <w:p>
      <w:pPr>
        <w:pStyle w:val="ListBullet"/>
        <w:spacing w:before="40" w:after="40"/>
      </w:pPr>
      <w:r>
        <w:rPr>
          <w:rFonts w:ascii="Calibri" w:hAnsi="Calibri"/>
          <w:b w:val="0"/>
          <w:i w:val="0"/>
          <w:sz w:val="21"/>
        </w:rPr>
        <w:t>15% — DisCo collection efficiency (NERC Q2 2024 Appendix IV)</w:t>
      </w:r>
    </w:p>
    <w:p>
      <w:pPr>
        <w:pStyle w:val="ListBullet"/>
        <w:spacing w:before="40" w:after="40"/>
      </w:pPr>
      <w:r>
        <w:rPr>
          <w:rFonts w:ascii="Calibri" w:hAnsi="Calibri"/>
          <w:b w:val="0"/>
          <w:i w:val="0"/>
          <w:sz w:val="21"/>
        </w:rPr>
        <w:t>5%   — Historical electrification baseline (prior census and survey rates)</w:t>
      </w:r>
    </w:p>
    <w:p>
      <w:pPr>
        <w:spacing w:before="160" w:after="80"/>
      </w:pPr>
      <w:r>
        <w:rPr>
          <w:rFonts w:ascii="Calibri" w:hAnsi="Calibri"/>
          <w:b/>
          <w:i w:val="0"/>
          <w:color w:val="00467F"/>
          <w:sz w:val="22"/>
        </w:rPr>
        <w:t>5.2  Billing and Revenue Data (Reference Year: Q2 2024 — April to June 2024)</w:t>
      </w:r>
    </w:p>
    <w:p>
      <w:pPr>
        <w:spacing w:before="60" w:after="80"/>
      </w:pPr>
      <w:r>
        <w:rPr>
          <w:rFonts w:ascii="Calibri" w:hAnsi="Calibri"/>
          <w:b w:val="0"/>
          <w:i w:val="0"/>
          <w:sz w:val="21"/>
        </w:rPr>
        <w:t>NERC Q2 2024 Appendix III supplies energy billed (GWh) per DisCo for April, May, and June 2024. NERC Q2 2024 Appendix IV supplies total billing (₦ million), revenue collected (₦ million), and collection efficiency (%) per DisCo for the same period. Values are aggregated across the three months to produce Q2 totals and then mapped to individual states through the DisCo service-area convention above.</w:t>
      </w:r>
    </w:p>
    <w:p>
      <w:pPr>
        <w:spacing w:before="160" w:after="80"/>
      </w:pPr>
      <w:r>
        <w:rPr>
          <w:rFonts w:ascii="Calibri" w:hAnsi="Calibri"/>
          <w:b/>
          <w:i w:val="0"/>
          <w:color w:val="00467F"/>
          <w:sz w:val="22"/>
        </w:rPr>
        <w:t>5.3  Renewable Energy Resources (Reference Year: 2008–2022 average for solar and wind)</w:t>
      </w:r>
    </w:p>
    <w:p>
      <w:pPr>
        <w:spacing w:before="60" w:after="80"/>
      </w:pPr>
      <w:r>
        <w:rPr>
          <w:rFonts w:ascii="Calibri" w:hAnsi="Calibri"/>
          <w:b w:val="0"/>
          <w:i w:val="0"/>
          <w:sz w:val="21"/>
        </w:rPr>
        <w:t>Solar irradiation (GHI) values represent the 15-year average (2008–2022) from NIMET's station network, validated against NASA POWER satellite-derived estimates and the IRENA Global Solar Atlas. Wind speed data use both the 15-year historical average and the more detailed 5-year hourly record (2018–2022), analysed with the Weibull distribution method and GIS spatial interpolation across all 37 administrative units.</w:t>
      </w:r>
    </w:p>
    <w:p>
      <w:pPr>
        <w:spacing w:before="160" w:after="80"/>
      </w:pPr>
      <w:r>
        <w:rPr>
          <w:rFonts w:ascii="Calibri" w:hAnsi="Calibri"/>
          <w:b/>
          <w:i w:val="0"/>
          <w:color w:val="00467F"/>
          <w:sz w:val="22"/>
        </w:rPr>
        <w:t>5.4  Installed Capacity and Population Data (Reference Year: 2022–2023 for capacity; 2023 for population)</w:t>
      </w:r>
    </w:p>
    <w:p>
      <w:pPr>
        <w:spacing w:before="60" w:after="80"/>
      </w:pPr>
      <w:r>
        <w:rPr>
          <w:rFonts w:ascii="Calibri" w:hAnsi="Calibri"/>
          <w:b w:val="0"/>
          <w:i w:val="0"/>
          <w:sz w:val="21"/>
        </w:rPr>
        <w:t>Installed generation capacity is from the ECN 2022–2023 annual statistics and NERC plant register. Off-grid and mini-grid deployments are from the REA NED 2023–2024 cycle. Population figures are NBS 2023 projections based on the 2006 census, using state-specific annual growth rates. State GDP uses NBS 2022–2023 quarterly GDP disaggregations as demand-weighting variables.</w:t>
      </w:r>
    </w:p>
    <w:p>
      <w:pPr>
        <w:spacing w:before="240" w:after="120"/>
      </w:pPr>
      <w:r>
        <w:rPr>
          <w:rFonts w:ascii="Calibri" w:hAnsi="Calibri"/>
          <w:b/>
          <w:i w:val="0"/>
          <w:color w:val="1F497D"/>
          <w:sz w:val="24"/>
        </w:rPr>
        <w:t>6.  Known Limitations</w:t>
      </w:r>
    </w:p>
    <w:p>
      <w:pPr>
        <w:spacing w:before="60" w:after="80"/>
      </w:pPr>
      <w:r>
        <w:rPr>
          <w:rFonts w:ascii="Calibri" w:hAnsi="Calibri"/>
          <w:b w:val="0"/>
          <w:i w:val="0"/>
          <w:sz w:val="21"/>
        </w:rPr>
        <w:t>Users should note the following caveats when interpreting the dataset:</w:t>
      </w:r>
    </w:p>
    <w:p>
      <w:pPr>
        <w:pStyle w:val="ListBullet"/>
        <w:spacing w:before="40" w:after="40"/>
      </w:pPr>
      <w:r>
        <w:rPr>
          <w:rFonts w:ascii="Calibri" w:hAnsi="Calibri"/>
          <w:b w:val="0"/>
          <w:i w:val="0"/>
          <w:sz w:val="21"/>
        </w:rPr>
        <w:t>State electricity access rates are modelled proxies calibrated to the World Bank 2022 national benchmark. They are not direct household survey measurements.</w:t>
      </w:r>
    </w:p>
    <w:p>
      <w:pPr>
        <w:pStyle w:val="ListBullet"/>
        <w:spacing w:before="40" w:after="40"/>
      </w:pPr>
      <w:r>
        <w:rPr>
          <w:rFonts w:ascii="Calibri" w:hAnsi="Calibri"/>
          <w:b w:val="0"/>
          <w:i w:val="0"/>
          <w:sz w:val="21"/>
        </w:rPr>
        <w:t>DisCo-to-state mapping approximates state-level figures for states served by multiple DisCos (Lagos, Ogun). Customer-count-weighted blends are used.</w:t>
      </w:r>
    </w:p>
    <w:p>
      <w:pPr>
        <w:pStyle w:val="ListBullet"/>
        <w:spacing w:before="40" w:after="40"/>
      </w:pPr>
      <w:r>
        <w:rPr>
          <w:rFonts w:ascii="Calibri" w:hAnsi="Calibri"/>
          <w:b w:val="0"/>
          <w:i w:val="0"/>
          <w:sz w:val="21"/>
        </w:rPr>
        <w:t>Solar irradiation and wind speed values are multi-year averages (2008–2022). Intra-annual variability and site-specific factors are not captured at state-level aggregation.</w:t>
      </w:r>
    </w:p>
    <w:p>
      <w:pPr>
        <w:pStyle w:val="ListBullet"/>
        <w:spacing w:before="40" w:after="40"/>
      </w:pPr>
      <w:r>
        <w:rPr>
          <w:rFonts w:ascii="Calibri" w:hAnsi="Calibri"/>
          <w:b w:val="0"/>
          <w:i w:val="0"/>
          <w:sz w:val="21"/>
        </w:rPr>
        <w:t>NBS population projections are based on the 2006 census — the absence of a more recent national census introduces uncertainty in per-capita denominators.</w:t>
      </w:r>
    </w:p>
    <w:p>
      <w:pPr>
        <w:pStyle w:val="ListBullet"/>
        <w:spacing w:before="40" w:after="40"/>
      </w:pPr>
      <w:r>
        <w:rPr>
          <w:rFonts w:ascii="Calibri" w:hAnsi="Calibri"/>
          <w:b w:val="0"/>
          <w:i w:val="0"/>
          <w:sz w:val="21"/>
        </w:rPr>
        <w:t>NERC billing data (Q2 2024) reflect a single quarter. Seasonal variation means Q2 figures may not be fully representative of full-year averages.</w:t>
      </w:r>
    </w:p>
    <w:p>
      <w:pPr>
        <w:pStyle w:val="ListBullet"/>
        <w:spacing w:before="40" w:after="40"/>
      </w:pPr>
      <w:r>
        <w:rPr>
          <w:rFonts w:ascii="Calibri" w:hAnsi="Calibri"/>
          <w:b w:val="0"/>
          <w:i w:val="0"/>
          <w:sz w:val="21"/>
        </w:rPr>
        <w:t>The dataset is a research-grade proxy compilation, not a substitute for primary household surveys or metered data for operational or investment-grade analysis.</w:t>
      </w:r>
    </w:p>
    <w:p>
      <w:pPr>
        <w:spacing w:before="240" w:after="120"/>
      </w:pPr>
      <w:r>
        <w:rPr>
          <w:rFonts w:ascii="Calibri" w:hAnsi="Calibri"/>
          <w:b/>
          <w:i w:val="0"/>
          <w:color w:val="1F497D"/>
          <w:sz w:val="24"/>
        </w:rPr>
        <w:t>7.  Recommended Citation</w:t>
      </w:r>
    </w:p>
    <w:p>
      <w:pPr>
        <w:spacing w:before="60" w:after="80"/>
      </w:pPr>
      <w:r>
        <w:rPr>
          <w:rFonts w:ascii="Calibri" w:hAnsi="Calibri"/>
          <w:b w:val="0"/>
          <w:i w:val="0"/>
          <w:sz w:val="21"/>
        </w:rPr>
        <w:t>"This dataset presents a compiled, state-level energy profile for Nigeria's 36 states and the Federal Capital Territory (FCT), sourced from the African Development Bank's Open Data for Africa platform (nigeria.opendataforafrica.org). Underlying indicators reflect data from the following reference years: electricity billing and DisCo performance — NERC Q2 2024 (April–June 2024); electricity access rates — World Bank / ESMAP 2022 national benchmark with NBS GHS Panel 2023/24 calibration; renewable energy resources (solar GHI and wind speed) — NIMET 15-year average 2008–2022; installed generation capacity and off-grid deployments — ECN and REA 2022–2024; population and GDP weights — NBS 2022–2023. The dataset is suitable for research, planning, and market assessment purposes and should not be used as a substitute for primary survey data in regulatory or investment-grade applications."</w:t>
      </w:r>
    </w:p>
    <w:p/>
    <w:p>
      <w:r>
        <w:rPr>
          <w:rFonts w:ascii="Calibri" w:hAnsi="Calibri"/>
          <w:b w:val="0"/>
          <w:i/>
          <w:color w:val="7F7F7F"/>
          <w:sz w:val="18"/>
        </w:rPr>
        <w:t>Prepared: May 2026  |  Data Reference Years: 2022–2024 (by indicator)  |  For research and analytical use only.</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