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F497D"/>
          <w:sz w:val="32"/>
        </w:rPr>
        <w:t>Nigeria General Household Survey – Panel (GHS-Panel) 2015/2016</w:t>
      </w:r>
    </w:p>
    <w:p>
      <w:pPr>
        <w:jc w:val="center"/>
      </w:pPr>
      <w:r>
        <w:rPr>
          <w:rFonts w:ascii="Calibri" w:hAnsi="Calibri"/>
          <w:b/>
          <w:i/>
          <w:color w:val="4472C4"/>
          <w:sz w:val="26"/>
        </w:rPr>
        <w:t>Source Note and Validation Statement</w:t>
      </w:r>
    </w:p>
    <w:p>
      <w:pPr>
        <w:jc w:val="center"/>
      </w:pPr>
      <w:r>
        <w:rPr>
          <w:rFonts w:ascii="Calibri" w:hAnsi="Calibri"/>
          <w:b w:val="0"/>
          <w:i/>
          <w:color w:val="595959"/>
          <w:sz w:val="22"/>
        </w:rPr>
        <w:t>State-level electricity access data derived from the NBS/World Bank nationally representative panel survey</w:t>
      </w:r>
    </w:p>
    <w:p/>
    <w:p>
      <w:pPr>
        <w:spacing w:before="120" w:after="80"/>
      </w:pPr>
      <w:r>
        <w:rPr>
          <w:rFonts w:ascii="Calibri" w:hAnsi="Calibri"/>
          <w:b/>
          <w:i w:val="0"/>
          <w:color w:val="1F497D"/>
          <w:sz w:val="26"/>
        </w:rPr>
        <w:t>1. Official Source Link</w:t>
      </w:r>
    </w:p>
    <w:p>
      <w:pPr>
        <w:spacing w:before="40" w:after="80"/>
      </w:pPr>
      <w:r>
        <w:rPr>
          <w:rFonts w:ascii="Calibri" w:hAnsi="Calibri"/>
          <w:b w:val="0"/>
          <w:i w:val="0"/>
          <w:sz w:val="22"/>
        </w:rPr>
        <w:t xml:space="preserve">Open Data for Africa – Nigeria General Household Survey Panel 2015: </w:t>
      </w:r>
      <w:hyperlink r:id="rId9">
        <w:r>
          <w:rPr>
            <w:color w:val="0563C1"/>
            <w:u w:val="single"/>
            <w:sz w:val="22"/>
            <w:szCs w:val="22"/>
          </w:rPr>
          <w:t>https://nigeria.opendataforafrica.org/NGGHHSP2017/general-household-survey-panel-2015</w:t>
        </w:r>
      </w:hyperlink>
    </w:p>
    <w:p>
      <w:pPr>
        <w:spacing w:before="40" w:after="80"/>
      </w:pPr>
      <w:r>
        <w:rPr>
          <w:rFonts w:ascii="Calibri" w:hAnsi="Calibri"/>
          <w:b w:val="0"/>
          <w:i w:val="0"/>
          <w:sz w:val="22"/>
        </w:rPr>
        <w:t xml:space="preserve">World Bank Microdata Library – GHS-Panel Wave 3 (primary repository): </w:t>
      </w:r>
      <w:hyperlink r:id="rId10">
        <w:r>
          <w:rPr>
            <w:color w:val="0563C1"/>
            <w:u w:val="single"/>
            <w:sz w:val="22"/>
            <w:szCs w:val="22"/>
          </w:rPr>
          <w:t>https://microdata.worldbank.org/index.php/catalog/2734</w:t>
        </w:r>
      </w:hyperlink>
    </w:p>
    <w:p>
      <w:pPr>
        <w:spacing w:before="40" w:after="80"/>
      </w:pPr>
      <w:r>
        <w:rPr>
          <w:rFonts w:ascii="Calibri" w:hAnsi="Calibri"/>
          <w:b w:val="0"/>
          <w:i w:val="0"/>
          <w:sz w:val="22"/>
        </w:rPr>
        <w:t xml:space="preserve">NBS Nigeria Microdata Portal: </w:t>
      </w:r>
      <w:hyperlink r:id="rId11">
        <w:r>
          <w:rPr>
            <w:color w:val="0563C1"/>
            <w:u w:val="single"/>
            <w:sz w:val="22"/>
            <w:szCs w:val="22"/>
          </w:rPr>
          <w:t>https://microdata.nigerianstat.gov.ng/index.php/catalog/52</w:t>
        </w:r>
      </w:hyperlink>
    </w:p>
    <w:p>
      <w:pPr>
        <w:spacing w:before="120" w:after="80"/>
      </w:pPr>
      <w:r>
        <w:rPr>
          <w:rFonts w:ascii="Calibri" w:hAnsi="Calibri"/>
          <w:b/>
          <w:i w:val="0"/>
          <w:color w:val="1F497D"/>
          <w:sz w:val="26"/>
        </w:rPr>
        <w:t>2. What the Data Is</w:t>
      </w:r>
    </w:p>
    <w:p>
      <w:pPr>
        <w:spacing w:before="40" w:after="80"/>
      </w:pPr>
      <w:r>
        <w:rPr>
          <w:rFonts w:ascii="Calibri" w:hAnsi="Calibri"/>
          <w:b w:val="0"/>
          <w:i w:val="0"/>
          <w:sz w:val="22"/>
        </w:rPr>
        <w:t>The Open Data for Africa portal (Nigeria) presents indicators derived from the Nigeria General Household Survey – Panel (GHS-Panel), Wave 3, conducted in 2015–2016. The underlying survey was implemented jointly by the National Bureau of Statistics (NBS) of the Federal Government of Nigeria, the Federal Ministry of Agriculture and Rural Development (FMA&amp;RD), the National Food Reserve Agency (NFRA), the Bill and Melinda Gates Foundation (BMGF), and the World Bank Living Standards Measurement Study (LSMS) team as part of the Integrated Surveys on Agriculture (ISA) programme.</w:t>
      </w:r>
    </w:p>
    <w:p>
      <w:pPr>
        <w:spacing w:before="40" w:after="80"/>
      </w:pPr>
      <w:r>
        <w:rPr>
          <w:rFonts w:ascii="Calibri" w:hAnsi="Calibri"/>
          <w:b w:val="0"/>
          <w:i w:val="0"/>
          <w:sz w:val="22"/>
        </w:rPr>
        <w:t>This is the third wave of a long-term panel project, with previous waves conducted in 2010/11 (Wave 1) and 2012/13 (Wave 2). The GHS-Panel is a nationally representative survey of approximately 5,000 households, representative of all six geopolitical zones and of both urban and rural populations across all 36 states of Nigeria and the Federal Capital Territory (FCT), Abuja.</w:t>
      </w:r>
    </w:p>
    <w:p>
      <w:pPr>
        <w:spacing w:before="120" w:after="80"/>
      </w:pPr>
      <w:r>
        <w:rPr>
          <w:rFonts w:ascii="Calibri" w:hAnsi="Calibri"/>
          <w:b/>
          <w:i w:val="0"/>
          <w:color w:val="1F497D"/>
          <w:sz w:val="26"/>
        </w:rPr>
        <w:t>3. Data Year</w:t>
      </w:r>
    </w:p>
    <w:p>
      <w:pPr>
        <w:spacing w:before="40" w:after="80"/>
      </w:pPr>
      <w:r>
        <w:rPr>
          <w:rFonts w:ascii="Calibri" w:hAnsi="Calibri"/>
          <w:b w:val="0"/>
          <w:i w:val="0"/>
          <w:sz w:val="22"/>
        </w:rPr>
        <w:t>All data in this dataset relate to the survey reference year 2015/2016. Field data collection was carried out in two visits:</w:t>
      </w:r>
    </w:p>
    <w:p>
      <w:pPr>
        <w:pStyle w:val="ListBullet"/>
        <w:spacing w:before="20" w:after="20"/>
      </w:pPr>
      <w:r>
        <w:rPr>
          <w:rFonts w:ascii="Calibri" w:hAnsi="Calibri"/>
          <w:b w:val="0"/>
          <w:i w:val="0"/>
          <w:sz w:val="22"/>
        </w:rPr>
        <w:t>Post-planting visit: September – November 2015</w:t>
      </w:r>
    </w:p>
    <w:p>
      <w:pPr>
        <w:pStyle w:val="ListBullet"/>
        <w:spacing w:before="20" w:after="20"/>
      </w:pPr>
      <w:r>
        <w:rPr>
          <w:rFonts w:ascii="Calibri" w:hAnsi="Calibri"/>
          <w:b w:val="0"/>
          <w:i w:val="0"/>
          <w:sz w:val="22"/>
        </w:rPr>
        <w:t>Post-harvest visit: February – April 2016</w:t>
      </w:r>
    </w:p>
    <w:p>
      <w:pPr>
        <w:pStyle w:val="ListBullet"/>
        <w:spacing w:before="20" w:after="20"/>
      </w:pPr>
      <w:r>
        <w:rPr>
          <w:rFonts w:ascii="Calibri" w:hAnsi="Calibri"/>
          <w:b w:val="0"/>
          <w:i w:val="0"/>
          <w:sz w:val="22"/>
        </w:rPr>
        <w:t>Household-tracking exercises: October–November 2015 and April–May 2016</w:t>
      </w:r>
    </w:p>
    <w:p>
      <w:pPr>
        <w:spacing w:before="40" w:after="80"/>
      </w:pPr>
      <w:r>
        <w:rPr>
          <w:rFonts w:ascii="Calibri" w:hAnsi="Calibri"/>
          <w:b w:val="0"/>
          <w:i w:val="0"/>
          <w:sz w:val="22"/>
        </w:rPr>
        <w:t>Unless otherwise specified, indicators reflect the most recent information collected during the post-harvest visit (February–April 2016). The dataset reference code used by the World Bank Microdata Library is NGA_2015_GHSP-W3_v02_M.</w:t>
      </w:r>
    </w:p>
    <w:p>
      <w:pPr>
        <w:spacing w:before="120" w:after="80"/>
      </w:pPr>
      <w:r>
        <w:rPr>
          <w:rFonts w:ascii="Calibri" w:hAnsi="Calibri"/>
          <w:b/>
          <w:i w:val="0"/>
          <w:color w:val="1F497D"/>
          <w:sz w:val="26"/>
        </w:rPr>
        <w:t>4. Geographic Coverage: All 36 States and FCT</w:t>
      </w:r>
    </w:p>
    <w:p>
      <w:pPr>
        <w:spacing w:before="40" w:after="80"/>
      </w:pPr>
      <w:r>
        <w:rPr>
          <w:rFonts w:ascii="Calibri" w:hAnsi="Calibri"/>
          <w:b w:val="0"/>
          <w:i w:val="0"/>
          <w:sz w:val="22"/>
        </w:rPr>
        <w:t>The GHS-Panel sample is fully integrated with the 2010 GHS Sample. The GHS sample was constructed by selecting 60 Primary Sampling Units (PSUs) or Enumeration Areas (EAs) from each of the 37 states in Nigeria (36 states plus FCT Abuja), resulting in 2,220 EAs nationally. Each EA contributes 10 households to the GHS sample, yielding a total GHS sample of 22,200 households. Out of this pool, 5,000 households from 500 EAs were selected for the panel component.</w:t>
      </w:r>
    </w:p>
    <w:p>
      <w:pPr>
        <w:spacing w:before="40" w:after="80"/>
      </w:pPr>
      <w:r>
        <w:rPr>
          <w:rFonts w:ascii="Calibri" w:hAnsi="Calibri"/>
          <w:b w:val="0"/>
          <w:i w:val="0"/>
          <w:sz w:val="22"/>
        </w:rPr>
        <w:t>The final Wave 3 sample comprised 4,581 households interviewed in both the post-planting and post-harvest visits, distributed across all six geopolitical zones and all 37 administrative units. The table below shows the state-by-state distribution of EAs and households included in Wave 3.</w:t>
      </w:r>
    </w:p>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97D" w:color="auto" w:val="clear"/>
          </w:tcPr>
          <w:p>
            <w:pPr>
              <w:jc w:val="center"/>
            </w:pPr>
            <w:r>
              <w:rPr>
                <w:rFonts w:ascii="Calibri" w:hAnsi="Calibri"/>
                <w:b/>
                <w:i w:val="0"/>
                <w:color w:val="FFFFFF"/>
                <w:sz w:val="20"/>
              </w:rPr>
              <w:t>Zone</w:t>
            </w:r>
          </w:p>
        </w:tc>
        <w:tc>
          <w:tcPr>
            <w:tcW w:type="dxa" w:w="2340"/>
            <w:shd w:fill="1F497D" w:color="auto" w:val="clear"/>
          </w:tcPr>
          <w:p>
            <w:pPr>
              <w:jc w:val="center"/>
            </w:pPr>
            <w:r>
              <w:rPr>
                <w:rFonts w:ascii="Calibri" w:hAnsi="Calibri"/>
                <w:b/>
                <w:i w:val="0"/>
                <w:color w:val="FFFFFF"/>
                <w:sz w:val="20"/>
              </w:rPr>
              <w:t>State / Territory</w:t>
            </w:r>
          </w:p>
        </w:tc>
        <w:tc>
          <w:tcPr>
            <w:tcW w:type="dxa" w:w="2340"/>
            <w:shd w:fill="1F497D" w:color="auto" w:val="clear"/>
          </w:tcPr>
          <w:p>
            <w:pPr>
              <w:jc w:val="center"/>
            </w:pPr>
            <w:r>
              <w:rPr>
                <w:rFonts w:ascii="Calibri" w:hAnsi="Calibri"/>
                <w:b/>
                <w:i w:val="0"/>
                <w:color w:val="FFFFFF"/>
                <w:sz w:val="20"/>
              </w:rPr>
              <w:t>No. of EAs (Post-Harvest)</w:t>
            </w:r>
          </w:p>
        </w:tc>
        <w:tc>
          <w:tcPr>
            <w:tcW w:type="dxa" w:w="2340"/>
            <w:shd w:fill="1F497D" w:color="auto" w:val="clear"/>
          </w:tcPr>
          <w:p>
            <w:pPr>
              <w:jc w:val="center"/>
            </w:pPr>
            <w:r>
              <w:rPr>
                <w:rFonts w:ascii="Calibri" w:hAnsi="Calibri"/>
                <w:b/>
                <w:i w:val="0"/>
                <w:color w:val="FFFFFF"/>
                <w:sz w:val="20"/>
              </w:rPr>
              <w:t>No. of Households (Post-Harvest)</w:t>
            </w:r>
          </w:p>
        </w:tc>
      </w:tr>
      <w:tr>
        <w:tc>
          <w:tcPr>
            <w:tcW w:type="dxa" w:w="2340"/>
            <w:shd w:fill="DEEAF1" w:color="auto" w:val="clear"/>
          </w:tcPr>
          <w:p>
            <w:pPr>
              <w:jc w:val="left"/>
            </w:pPr>
            <w:r>
              <w:rPr>
                <w:rFonts w:ascii="Calibri" w:hAnsi="Calibri"/>
                <w:b w:val="0"/>
                <w:i w:val="0"/>
                <w:sz w:val="20"/>
              </w:rPr>
              <w:t>North Central</w:t>
            </w:r>
          </w:p>
        </w:tc>
        <w:tc>
          <w:tcPr>
            <w:tcW w:type="dxa" w:w="2340"/>
            <w:shd w:fill="DEEAF1" w:color="auto" w:val="clear"/>
          </w:tcPr>
          <w:p>
            <w:pPr>
              <w:jc w:val="left"/>
            </w:pPr>
            <w:r>
              <w:rPr>
                <w:rFonts w:ascii="Calibri" w:hAnsi="Calibri"/>
                <w:b w:val="0"/>
                <w:i w:val="0"/>
                <w:sz w:val="20"/>
              </w:rPr>
              <w:t>Benue</w:t>
            </w:r>
          </w:p>
        </w:tc>
        <w:tc>
          <w:tcPr>
            <w:tcW w:type="dxa" w:w="2340"/>
            <w:shd w:fill="DEEAF1" w:color="auto" w:val="clear"/>
          </w:tcPr>
          <w:p>
            <w:pPr>
              <w:jc w:val="center"/>
            </w:pPr>
            <w:r>
              <w:rPr>
                <w:rFonts w:ascii="Calibri" w:hAnsi="Calibri"/>
                <w:b w:val="0"/>
                <w:i w:val="0"/>
                <w:sz w:val="20"/>
              </w:rPr>
              <w:t>16</w:t>
            </w:r>
          </w:p>
        </w:tc>
        <w:tc>
          <w:tcPr>
            <w:tcW w:type="dxa" w:w="2340"/>
            <w:shd w:fill="DEEAF1" w:color="auto" w:val="clear"/>
          </w:tcPr>
          <w:p>
            <w:pPr>
              <w:jc w:val="center"/>
            </w:pPr>
            <w:r>
              <w:rPr>
                <w:rFonts w:ascii="Calibri" w:hAnsi="Calibri"/>
                <w:b w:val="0"/>
                <w:i w:val="0"/>
                <w:sz w:val="20"/>
              </w:rPr>
              <w:t>155</w:t>
            </w:r>
          </w:p>
        </w:tc>
      </w:tr>
      <w:tr>
        <w:tc>
          <w:tcPr>
            <w:tcW w:type="dxa" w:w="2340"/>
            <w:shd w:fill="DEEAF1" w:color="auto" w:val="clear"/>
          </w:tcPr>
          <w:p>
            <w:pPr>
              <w:jc w:val="left"/>
            </w:pPr>
            <w:r>
              <w:rPr>
                <w:rFonts w:ascii="Calibri" w:hAnsi="Calibri"/>
                <w:b w:val="0"/>
                <w:i w:val="0"/>
                <w:sz w:val="20"/>
              </w:rPr>
              <w:t>North Central</w:t>
            </w:r>
          </w:p>
        </w:tc>
        <w:tc>
          <w:tcPr>
            <w:tcW w:type="dxa" w:w="2340"/>
            <w:shd w:fill="DEEAF1" w:color="auto" w:val="clear"/>
          </w:tcPr>
          <w:p>
            <w:pPr>
              <w:jc w:val="left"/>
            </w:pPr>
            <w:r>
              <w:rPr>
                <w:rFonts w:ascii="Calibri" w:hAnsi="Calibri"/>
                <w:b w:val="0"/>
                <w:i w:val="0"/>
                <w:sz w:val="20"/>
              </w:rPr>
              <w:t>Kogi</w:t>
            </w:r>
          </w:p>
        </w:tc>
        <w:tc>
          <w:tcPr>
            <w:tcW w:type="dxa" w:w="2340"/>
            <w:shd w:fill="DEEAF1" w:color="auto" w:val="clear"/>
          </w:tcPr>
          <w:p>
            <w:pPr>
              <w:jc w:val="center"/>
            </w:pPr>
            <w:r>
              <w:rPr>
                <w:rFonts w:ascii="Calibri" w:hAnsi="Calibri"/>
                <w:b w:val="0"/>
                <w:i w:val="0"/>
                <w:sz w:val="20"/>
              </w:rPr>
              <w:t>12</w:t>
            </w:r>
          </w:p>
        </w:tc>
        <w:tc>
          <w:tcPr>
            <w:tcW w:type="dxa" w:w="2340"/>
            <w:shd w:fill="DEEAF1" w:color="auto" w:val="clear"/>
          </w:tcPr>
          <w:p>
            <w:pPr>
              <w:jc w:val="center"/>
            </w:pPr>
            <w:r>
              <w:rPr>
                <w:rFonts w:ascii="Calibri" w:hAnsi="Calibri"/>
                <w:b w:val="0"/>
                <w:i w:val="0"/>
                <w:sz w:val="20"/>
              </w:rPr>
              <w:t>122</w:t>
            </w:r>
          </w:p>
        </w:tc>
      </w:tr>
      <w:tr>
        <w:tc>
          <w:tcPr>
            <w:tcW w:type="dxa" w:w="2340"/>
            <w:shd w:fill="DEEAF1" w:color="auto" w:val="clear"/>
          </w:tcPr>
          <w:p>
            <w:pPr>
              <w:jc w:val="left"/>
            </w:pPr>
            <w:r>
              <w:rPr>
                <w:rFonts w:ascii="Calibri" w:hAnsi="Calibri"/>
                <w:b w:val="0"/>
                <w:i w:val="0"/>
                <w:sz w:val="20"/>
              </w:rPr>
              <w:t>North Central</w:t>
            </w:r>
          </w:p>
        </w:tc>
        <w:tc>
          <w:tcPr>
            <w:tcW w:type="dxa" w:w="2340"/>
            <w:shd w:fill="DEEAF1" w:color="auto" w:val="clear"/>
          </w:tcPr>
          <w:p>
            <w:pPr>
              <w:jc w:val="left"/>
            </w:pPr>
            <w:r>
              <w:rPr>
                <w:rFonts w:ascii="Calibri" w:hAnsi="Calibri"/>
                <w:b w:val="0"/>
                <w:i w:val="0"/>
                <w:sz w:val="20"/>
              </w:rPr>
              <w:t>Kwara</w:t>
            </w:r>
          </w:p>
        </w:tc>
        <w:tc>
          <w:tcPr>
            <w:tcW w:type="dxa" w:w="2340"/>
            <w:shd w:fill="DEEAF1" w:color="auto" w:val="clear"/>
          </w:tcPr>
          <w:p>
            <w:pPr>
              <w:jc w:val="center"/>
            </w:pPr>
            <w:r>
              <w:rPr>
                <w:rFonts w:ascii="Calibri" w:hAnsi="Calibri"/>
                <w:b w:val="0"/>
                <w:i w:val="0"/>
                <w:sz w:val="20"/>
              </w:rPr>
              <w:t>12</w:t>
            </w:r>
          </w:p>
        </w:tc>
        <w:tc>
          <w:tcPr>
            <w:tcW w:type="dxa" w:w="2340"/>
            <w:shd w:fill="DEEAF1" w:color="auto" w:val="clear"/>
          </w:tcPr>
          <w:p>
            <w:pPr>
              <w:jc w:val="center"/>
            </w:pPr>
            <w:r>
              <w:rPr>
                <w:rFonts w:ascii="Calibri" w:hAnsi="Calibri"/>
                <w:b w:val="0"/>
                <w:i w:val="0"/>
                <w:sz w:val="20"/>
              </w:rPr>
              <w:t>116</w:t>
            </w:r>
          </w:p>
        </w:tc>
      </w:tr>
      <w:tr>
        <w:tc>
          <w:tcPr>
            <w:tcW w:type="dxa" w:w="2340"/>
            <w:shd w:fill="DEEAF1" w:color="auto" w:val="clear"/>
          </w:tcPr>
          <w:p>
            <w:pPr>
              <w:jc w:val="left"/>
            </w:pPr>
            <w:r>
              <w:rPr>
                <w:rFonts w:ascii="Calibri" w:hAnsi="Calibri"/>
                <w:b w:val="0"/>
                <w:i w:val="0"/>
                <w:sz w:val="20"/>
              </w:rPr>
              <w:t>North Central</w:t>
            </w:r>
          </w:p>
        </w:tc>
        <w:tc>
          <w:tcPr>
            <w:tcW w:type="dxa" w:w="2340"/>
            <w:shd w:fill="DEEAF1" w:color="auto" w:val="clear"/>
          </w:tcPr>
          <w:p>
            <w:pPr>
              <w:jc w:val="left"/>
            </w:pPr>
            <w:r>
              <w:rPr>
                <w:rFonts w:ascii="Calibri" w:hAnsi="Calibri"/>
                <w:b w:val="0"/>
                <w:i w:val="0"/>
                <w:sz w:val="20"/>
              </w:rPr>
              <w:t>Nasarawa</w:t>
            </w:r>
          </w:p>
        </w:tc>
        <w:tc>
          <w:tcPr>
            <w:tcW w:type="dxa" w:w="2340"/>
            <w:shd w:fill="DEEAF1" w:color="auto" w:val="clear"/>
          </w:tcPr>
          <w:p>
            <w:pPr>
              <w:jc w:val="center"/>
            </w:pPr>
            <w:r>
              <w:rPr>
                <w:rFonts w:ascii="Calibri" w:hAnsi="Calibri"/>
                <w:b w:val="0"/>
                <w:i w:val="0"/>
                <w:sz w:val="20"/>
              </w:rPr>
              <w:t>7</w:t>
            </w:r>
          </w:p>
        </w:tc>
        <w:tc>
          <w:tcPr>
            <w:tcW w:type="dxa" w:w="2340"/>
            <w:shd w:fill="DEEAF1" w:color="auto" w:val="clear"/>
          </w:tcPr>
          <w:p>
            <w:pPr>
              <w:jc w:val="center"/>
            </w:pPr>
            <w:r>
              <w:rPr>
                <w:rFonts w:ascii="Calibri" w:hAnsi="Calibri"/>
                <w:b w:val="0"/>
                <w:i w:val="0"/>
                <w:sz w:val="20"/>
              </w:rPr>
              <w:t>68</w:t>
            </w:r>
          </w:p>
        </w:tc>
      </w:tr>
      <w:tr>
        <w:tc>
          <w:tcPr>
            <w:tcW w:type="dxa" w:w="2340"/>
            <w:shd w:fill="DEEAF1" w:color="auto" w:val="clear"/>
          </w:tcPr>
          <w:p>
            <w:pPr>
              <w:jc w:val="left"/>
            </w:pPr>
            <w:r>
              <w:rPr>
                <w:rFonts w:ascii="Calibri" w:hAnsi="Calibri"/>
                <w:b w:val="0"/>
                <w:i w:val="0"/>
                <w:sz w:val="20"/>
              </w:rPr>
              <w:t>North Central</w:t>
            </w:r>
          </w:p>
        </w:tc>
        <w:tc>
          <w:tcPr>
            <w:tcW w:type="dxa" w:w="2340"/>
            <w:shd w:fill="DEEAF1" w:color="auto" w:val="clear"/>
          </w:tcPr>
          <w:p>
            <w:pPr>
              <w:jc w:val="left"/>
            </w:pPr>
            <w:r>
              <w:rPr>
                <w:rFonts w:ascii="Calibri" w:hAnsi="Calibri"/>
                <w:b w:val="0"/>
                <w:i w:val="0"/>
                <w:sz w:val="20"/>
              </w:rPr>
              <w:t>Niger</w:t>
            </w:r>
          </w:p>
        </w:tc>
        <w:tc>
          <w:tcPr>
            <w:tcW w:type="dxa" w:w="2340"/>
            <w:shd w:fill="DEEAF1" w:color="auto" w:val="clear"/>
          </w:tcPr>
          <w:p>
            <w:pPr>
              <w:jc w:val="center"/>
            </w:pPr>
            <w:r>
              <w:rPr>
                <w:rFonts w:ascii="Calibri" w:hAnsi="Calibri"/>
                <w:b w:val="0"/>
                <w:i w:val="0"/>
                <w:sz w:val="20"/>
              </w:rPr>
              <w:t>18</w:t>
            </w:r>
          </w:p>
        </w:tc>
        <w:tc>
          <w:tcPr>
            <w:tcW w:type="dxa" w:w="2340"/>
            <w:shd w:fill="DEEAF1" w:color="auto" w:val="clear"/>
          </w:tcPr>
          <w:p>
            <w:pPr>
              <w:jc w:val="center"/>
            </w:pPr>
            <w:r>
              <w:rPr>
                <w:rFonts w:ascii="Calibri" w:hAnsi="Calibri"/>
                <w:b w:val="0"/>
                <w:i w:val="0"/>
                <w:sz w:val="20"/>
              </w:rPr>
              <w:t>182</w:t>
            </w:r>
          </w:p>
        </w:tc>
      </w:tr>
      <w:tr>
        <w:tc>
          <w:tcPr>
            <w:tcW w:type="dxa" w:w="2340"/>
            <w:shd w:fill="DEEAF1" w:color="auto" w:val="clear"/>
          </w:tcPr>
          <w:p>
            <w:pPr>
              <w:jc w:val="left"/>
            </w:pPr>
            <w:r>
              <w:rPr>
                <w:rFonts w:ascii="Calibri" w:hAnsi="Calibri"/>
                <w:b w:val="0"/>
                <w:i w:val="0"/>
                <w:sz w:val="20"/>
              </w:rPr>
              <w:t>North Central</w:t>
            </w:r>
          </w:p>
        </w:tc>
        <w:tc>
          <w:tcPr>
            <w:tcW w:type="dxa" w:w="2340"/>
            <w:shd w:fill="DEEAF1" w:color="auto" w:val="clear"/>
          </w:tcPr>
          <w:p>
            <w:pPr>
              <w:jc w:val="left"/>
            </w:pPr>
            <w:r>
              <w:rPr>
                <w:rFonts w:ascii="Calibri" w:hAnsi="Calibri"/>
                <w:b w:val="0"/>
                <w:i w:val="0"/>
                <w:sz w:val="20"/>
              </w:rPr>
              <w:t>Plateau</w:t>
            </w:r>
          </w:p>
        </w:tc>
        <w:tc>
          <w:tcPr>
            <w:tcW w:type="dxa" w:w="2340"/>
            <w:shd w:fill="DEEAF1" w:color="auto" w:val="clear"/>
          </w:tcPr>
          <w:p>
            <w:pPr>
              <w:jc w:val="center"/>
            </w:pPr>
            <w:r>
              <w:rPr>
                <w:rFonts w:ascii="Calibri" w:hAnsi="Calibri"/>
                <w:b w:val="0"/>
                <w:i w:val="0"/>
                <w:sz w:val="20"/>
              </w:rPr>
              <w:t>11</w:t>
            </w:r>
          </w:p>
        </w:tc>
        <w:tc>
          <w:tcPr>
            <w:tcW w:type="dxa" w:w="2340"/>
            <w:shd w:fill="DEEAF1" w:color="auto" w:val="clear"/>
          </w:tcPr>
          <w:p>
            <w:pPr>
              <w:jc w:val="center"/>
            </w:pPr>
            <w:r>
              <w:rPr>
                <w:rFonts w:ascii="Calibri" w:hAnsi="Calibri"/>
                <w:b w:val="0"/>
                <w:i w:val="0"/>
                <w:sz w:val="20"/>
              </w:rPr>
              <w:t>111</w:t>
            </w:r>
          </w:p>
        </w:tc>
      </w:tr>
      <w:tr>
        <w:tc>
          <w:tcPr>
            <w:tcW w:type="dxa" w:w="2340"/>
            <w:shd w:fill="DEEAF1" w:color="auto" w:val="clear"/>
          </w:tcPr>
          <w:p>
            <w:pPr>
              <w:jc w:val="left"/>
            </w:pPr>
            <w:r>
              <w:rPr>
                <w:rFonts w:ascii="Calibri" w:hAnsi="Calibri"/>
                <w:b w:val="0"/>
                <w:i w:val="0"/>
                <w:sz w:val="20"/>
              </w:rPr>
              <w:t>North Central</w:t>
            </w:r>
          </w:p>
        </w:tc>
        <w:tc>
          <w:tcPr>
            <w:tcW w:type="dxa" w:w="2340"/>
            <w:shd w:fill="DEEAF1" w:color="auto" w:val="clear"/>
          </w:tcPr>
          <w:p>
            <w:pPr>
              <w:jc w:val="left"/>
            </w:pPr>
            <w:r>
              <w:rPr>
                <w:rFonts w:ascii="Calibri" w:hAnsi="Calibri"/>
                <w:b w:val="0"/>
                <w:i w:val="0"/>
                <w:sz w:val="20"/>
              </w:rPr>
              <w:t>FCT Abuja</w:t>
            </w:r>
          </w:p>
        </w:tc>
        <w:tc>
          <w:tcPr>
            <w:tcW w:type="dxa" w:w="2340"/>
            <w:shd w:fill="DEEAF1" w:color="auto" w:val="clear"/>
          </w:tcPr>
          <w:p>
            <w:pPr>
              <w:jc w:val="center"/>
            </w:pPr>
            <w:r>
              <w:rPr>
                <w:rFonts w:ascii="Calibri" w:hAnsi="Calibri"/>
                <w:b w:val="0"/>
                <w:i w:val="0"/>
                <w:sz w:val="20"/>
              </w:rPr>
              <w:t>4</w:t>
            </w:r>
          </w:p>
        </w:tc>
        <w:tc>
          <w:tcPr>
            <w:tcW w:type="dxa" w:w="2340"/>
            <w:shd w:fill="DEEAF1" w:color="auto" w:val="clear"/>
          </w:tcPr>
          <w:p>
            <w:pPr>
              <w:jc w:val="center"/>
            </w:pPr>
            <w:r>
              <w:rPr>
                <w:rFonts w:ascii="Calibri" w:hAnsi="Calibri"/>
                <w:b w:val="0"/>
                <w:i w:val="0"/>
                <w:sz w:val="20"/>
              </w:rPr>
              <w:t>37</w:t>
            </w:r>
          </w:p>
        </w:tc>
      </w:tr>
      <w:tr>
        <w:tc>
          <w:tcPr>
            <w:tcW w:type="dxa" w:w="2340"/>
            <w:shd w:fill="E2EFDA" w:color="auto" w:val="clear"/>
          </w:tcPr>
          <w:p>
            <w:pPr>
              <w:jc w:val="left"/>
            </w:pPr>
            <w:r>
              <w:rPr>
                <w:rFonts w:ascii="Calibri" w:hAnsi="Calibri"/>
                <w:b w:val="0"/>
                <w:i w:val="0"/>
                <w:sz w:val="20"/>
              </w:rPr>
              <w:t>North East</w:t>
            </w:r>
          </w:p>
        </w:tc>
        <w:tc>
          <w:tcPr>
            <w:tcW w:type="dxa" w:w="2340"/>
            <w:shd w:fill="E2EFDA" w:color="auto" w:val="clear"/>
          </w:tcPr>
          <w:p>
            <w:pPr>
              <w:jc w:val="left"/>
            </w:pPr>
            <w:r>
              <w:rPr>
                <w:rFonts w:ascii="Calibri" w:hAnsi="Calibri"/>
                <w:b w:val="0"/>
                <w:i w:val="0"/>
                <w:sz w:val="20"/>
              </w:rPr>
              <w:t>Adamawa</w:t>
            </w:r>
          </w:p>
        </w:tc>
        <w:tc>
          <w:tcPr>
            <w:tcW w:type="dxa" w:w="2340"/>
            <w:shd w:fill="E2EFDA" w:color="auto" w:val="clear"/>
          </w:tcPr>
          <w:p>
            <w:pPr>
              <w:jc w:val="center"/>
            </w:pPr>
            <w:r>
              <w:rPr>
                <w:rFonts w:ascii="Calibri" w:hAnsi="Calibri"/>
                <w:b w:val="0"/>
                <w:i w:val="0"/>
                <w:sz w:val="20"/>
              </w:rPr>
              <w:t>12</w:t>
            </w:r>
          </w:p>
        </w:tc>
        <w:tc>
          <w:tcPr>
            <w:tcW w:type="dxa" w:w="2340"/>
            <w:shd w:fill="E2EFDA" w:color="auto" w:val="clear"/>
          </w:tcPr>
          <w:p>
            <w:pPr>
              <w:jc w:val="center"/>
            </w:pPr>
            <w:r>
              <w:rPr>
                <w:rFonts w:ascii="Calibri" w:hAnsi="Calibri"/>
                <w:b w:val="0"/>
                <w:i w:val="0"/>
                <w:sz w:val="20"/>
              </w:rPr>
              <w:t>114</w:t>
            </w:r>
          </w:p>
        </w:tc>
      </w:tr>
      <w:tr>
        <w:tc>
          <w:tcPr>
            <w:tcW w:type="dxa" w:w="2340"/>
            <w:shd w:fill="E2EFDA" w:color="auto" w:val="clear"/>
          </w:tcPr>
          <w:p>
            <w:pPr>
              <w:jc w:val="left"/>
            </w:pPr>
            <w:r>
              <w:rPr>
                <w:rFonts w:ascii="Calibri" w:hAnsi="Calibri"/>
                <w:b w:val="0"/>
                <w:i w:val="0"/>
                <w:sz w:val="20"/>
              </w:rPr>
              <w:t>North East</w:t>
            </w:r>
          </w:p>
        </w:tc>
        <w:tc>
          <w:tcPr>
            <w:tcW w:type="dxa" w:w="2340"/>
            <w:shd w:fill="E2EFDA" w:color="auto" w:val="clear"/>
          </w:tcPr>
          <w:p>
            <w:pPr>
              <w:jc w:val="left"/>
            </w:pPr>
            <w:r>
              <w:rPr>
                <w:rFonts w:ascii="Calibri" w:hAnsi="Calibri"/>
                <w:b w:val="0"/>
                <w:i w:val="0"/>
                <w:sz w:val="20"/>
              </w:rPr>
              <w:t>Bauchi</w:t>
            </w:r>
          </w:p>
        </w:tc>
        <w:tc>
          <w:tcPr>
            <w:tcW w:type="dxa" w:w="2340"/>
            <w:shd w:fill="E2EFDA" w:color="auto" w:val="clear"/>
          </w:tcPr>
          <w:p>
            <w:pPr>
              <w:jc w:val="center"/>
            </w:pPr>
            <w:r>
              <w:rPr>
                <w:rFonts w:ascii="Calibri" w:hAnsi="Calibri"/>
                <w:b w:val="0"/>
                <w:i w:val="0"/>
                <w:sz w:val="20"/>
              </w:rPr>
              <w:t>17</w:t>
            </w:r>
          </w:p>
        </w:tc>
        <w:tc>
          <w:tcPr>
            <w:tcW w:type="dxa" w:w="2340"/>
            <w:shd w:fill="E2EFDA" w:color="auto" w:val="clear"/>
          </w:tcPr>
          <w:p>
            <w:pPr>
              <w:jc w:val="center"/>
            </w:pPr>
            <w:r>
              <w:rPr>
                <w:rFonts w:ascii="Calibri" w:hAnsi="Calibri"/>
                <w:b w:val="0"/>
                <w:i w:val="0"/>
                <w:sz w:val="20"/>
              </w:rPr>
              <w:t>166</w:t>
            </w:r>
          </w:p>
        </w:tc>
      </w:tr>
      <w:tr>
        <w:tc>
          <w:tcPr>
            <w:tcW w:type="dxa" w:w="2340"/>
            <w:shd w:fill="E2EFDA" w:color="auto" w:val="clear"/>
          </w:tcPr>
          <w:p>
            <w:pPr>
              <w:jc w:val="left"/>
            </w:pPr>
            <w:r>
              <w:rPr>
                <w:rFonts w:ascii="Calibri" w:hAnsi="Calibri"/>
                <w:b w:val="0"/>
                <w:i w:val="0"/>
                <w:sz w:val="20"/>
              </w:rPr>
              <w:t>North East</w:t>
            </w:r>
          </w:p>
        </w:tc>
        <w:tc>
          <w:tcPr>
            <w:tcW w:type="dxa" w:w="2340"/>
            <w:shd w:fill="E2EFDA" w:color="auto" w:val="clear"/>
          </w:tcPr>
          <w:p>
            <w:pPr>
              <w:jc w:val="left"/>
            </w:pPr>
            <w:r>
              <w:rPr>
                <w:rFonts w:ascii="Calibri" w:hAnsi="Calibri"/>
                <w:b w:val="0"/>
                <w:i w:val="0"/>
                <w:sz w:val="20"/>
              </w:rPr>
              <w:t>Borno</w:t>
            </w:r>
          </w:p>
        </w:tc>
        <w:tc>
          <w:tcPr>
            <w:tcW w:type="dxa" w:w="2340"/>
            <w:shd w:fill="E2EFDA" w:color="auto" w:val="clear"/>
          </w:tcPr>
          <w:p>
            <w:pPr>
              <w:jc w:val="center"/>
            </w:pPr>
            <w:r>
              <w:rPr>
                <w:rFonts w:ascii="Calibri" w:hAnsi="Calibri"/>
                <w:b w:val="0"/>
                <w:i w:val="0"/>
                <w:sz w:val="20"/>
              </w:rPr>
              <w:t>9</w:t>
            </w:r>
          </w:p>
        </w:tc>
        <w:tc>
          <w:tcPr>
            <w:tcW w:type="dxa" w:w="2340"/>
            <w:shd w:fill="E2EFDA" w:color="auto" w:val="clear"/>
          </w:tcPr>
          <w:p>
            <w:pPr>
              <w:jc w:val="center"/>
            </w:pPr>
            <w:r>
              <w:rPr>
                <w:rFonts w:ascii="Calibri" w:hAnsi="Calibri"/>
                <w:b w:val="0"/>
                <w:i w:val="0"/>
                <w:sz w:val="20"/>
              </w:rPr>
              <w:t>84</w:t>
            </w:r>
          </w:p>
        </w:tc>
      </w:tr>
      <w:tr>
        <w:tc>
          <w:tcPr>
            <w:tcW w:type="dxa" w:w="2340"/>
            <w:shd w:fill="E2EFDA" w:color="auto" w:val="clear"/>
          </w:tcPr>
          <w:p>
            <w:pPr>
              <w:jc w:val="left"/>
            </w:pPr>
            <w:r>
              <w:rPr>
                <w:rFonts w:ascii="Calibri" w:hAnsi="Calibri"/>
                <w:b w:val="0"/>
                <w:i w:val="0"/>
                <w:sz w:val="20"/>
              </w:rPr>
              <w:t>North East</w:t>
            </w:r>
          </w:p>
        </w:tc>
        <w:tc>
          <w:tcPr>
            <w:tcW w:type="dxa" w:w="2340"/>
            <w:shd w:fill="E2EFDA" w:color="auto" w:val="clear"/>
          </w:tcPr>
          <w:p>
            <w:pPr>
              <w:jc w:val="left"/>
            </w:pPr>
            <w:r>
              <w:rPr>
                <w:rFonts w:ascii="Calibri" w:hAnsi="Calibri"/>
                <w:b w:val="0"/>
                <w:i w:val="0"/>
                <w:sz w:val="20"/>
              </w:rPr>
              <w:t>Gombe</w:t>
            </w:r>
          </w:p>
        </w:tc>
        <w:tc>
          <w:tcPr>
            <w:tcW w:type="dxa" w:w="2340"/>
            <w:shd w:fill="E2EFDA" w:color="auto" w:val="clear"/>
          </w:tcPr>
          <w:p>
            <w:pPr>
              <w:jc w:val="center"/>
            </w:pPr>
            <w:r>
              <w:rPr>
                <w:rFonts w:ascii="Calibri" w:hAnsi="Calibri"/>
                <w:b w:val="0"/>
                <w:i w:val="0"/>
                <w:sz w:val="20"/>
              </w:rPr>
              <w:t>8</w:t>
            </w:r>
          </w:p>
        </w:tc>
        <w:tc>
          <w:tcPr>
            <w:tcW w:type="dxa" w:w="2340"/>
            <w:shd w:fill="E2EFDA" w:color="auto" w:val="clear"/>
          </w:tcPr>
          <w:p>
            <w:pPr>
              <w:jc w:val="center"/>
            </w:pPr>
            <w:r>
              <w:rPr>
                <w:rFonts w:ascii="Calibri" w:hAnsi="Calibri"/>
                <w:b w:val="0"/>
                <w:i w:val="0"/>
                <w:sz w:val="20"/>
              </w:rPr>
              <w:t>77</w:t>
            </w:r>
          </w:p>
        </w:tc>
      </w:tr>
      <w:tr>
        <w:tc>
          <w:tcPr>
            <w:tcW w:type="dxa" w:w="2340"/>
            <w:shd w:fill="E2EFDA" w:color="auto" w:val="clear"/>
          </w:tcPr>
          <w:p>
            <w:pPr>
              <w:jc w:val="left"/>
            </w:pPr>
            <w:r>
              <w:rPr>
                <w:rFonts w:ascii="Calibri" w:hAnsi="Calibri"/>
                <w:b w:val="0"/>
                <w:i w:val="0"/>
                <w:sz w:val="20"/>
              </w:rPr>
              <w:t>North East</w:t>
            </w:r>
          </w:p>
        </w:tc>
        <w:tc>
          <w:tcPr>
            <w:tcW w:type="dxa" w:w="2340"/>
            <w:shd w:fill="E2EFDA" w:color="auto" w:val="clear"/>
          </w:tcPr>
          <w:p>
            <w:pPr>
              <w:jc w:val="left"/>
            </w:pPr>
            <w:r>
              <w:rPr>
                <w:rFonts w:ascii="Calibri" w:hAnsi="Calibri"/>
                <w:b w:val="0"/>
                <w:i w:val="0"/>
                <w:sz w:val="20"/>
              </w:rPr>
              <w:t>Taraba</w:t>
            </w:r>
          </w:p>
        </w:tc>
        <w:tc>
          <w:tcPr>
            <w:tcW w:type="dxa" w:w="2340"/>
            <w:shd w:fill="E2EFDA" w:color="auto" w:val="clear"/>
          </w:tcPr>
          <w:p>
            <w:pPr>
              <w:jc w:val="center"/>
            </w:pPr>
            <w:r>
              <w:rPr>
                <w:rFonts w:ascii="Calibri" w:hAnsi="Calibri"/>
                <w:b w:val="0"/>
                <w:i w:val="0"/>
                <w:sz w:val="20"/>
              </w:rPr>
              <w:t>9</w:t>
            </w:r>
          </w:p>
        </w:tc>
        <w:tc>
          <w:tcPr>
            <w:tcW w:type="dxa" w:w="2340"/>
            <w:shd w:fill="E2EFDA" w:color="auto" w:val="clear"/>
          </w:tcPr>
          <w:p>
            <w:pPr>
              <w:jc w:val="center"/>
            </w:pPr>
            <w:r>
              <w:rPr>
                <w:rFonts w:ascii="Calibri" w:hAnsi="Calibri"/>
                <w:b w:val="0"/>
                <w:i w:val="0"/>
                <w:sz w:val="20"/>
              </w:rPr>
              <w:t>91</w:t>
            </w:r>
          </w:p>
        </w:tc>
      </w:tr>
      <w:tr>
        <w:tc>
          <w:tcPr>
            <w:tcW w:type="dxa" w:w="2340"/>
            <w:shd w:fill="E2EFDA" w:color="auto" w:val="clear"/>
          </w:tcPr>
          <w:p>
            <w:pPr>
              <w:jc w:val="left"/>
            </w:pPr>
            <w:r>
              <w:rPr>
                <w:rFonts w:ascii="Calibri" w:hAnsi="Calibri"/>
                <w:b w:val="0"/>
                <w:i w:val="0"/>
                <w:sz w:val="20"/>
              </w:rPr>
              <w:t>North East</w:t>
            </w:r>
          </w:p>
        </w:tc>
        <w:tc>
          <w:tcPr>
            <w:tcW w:type="dxa" w:w="2340"/>
            <w:shd w:fill="E2EFDA" w:color="auto" w:val="clear"/>
          </w:tcPr>
          <w:p>
            <w:pPr>
              <w:jc w:val="left"/>
            </w:pPr>
            <w:r>
              <w:rPr>
                <w:rFonts w:ascii="Calibri" w:hAnsi="Calibri"/>
                <w:b w:val="0"/>
                <w:i w:val="0"/>
                <w:sz w:val="20"/>
              </w:rPr>
              <w:t>Yobe</w:t>
            </w:r>
          </w:p>
        </w:tc>
        <w:tc>
          <w:tcPr>
            <w:tcW w:type="dxa" w:w="2340"/>
            <w:shd w:fill="E2EFDA" w:color="auto" w:val="clear"/>
          </w:tcPr>
          <w:p>
            <w:pPr>
              <w:jc w:val="center"/>
            </w:pPr>
            <w:r>
              <w:rPr>
                <w:rFonts w:ascii="Calibri" w:hAnsi="Calibri"/>
                <w:b w:val="0"/>
                <w:i w:val="0"/>
                <w:sz w:val="20"/>
              </w:rPr>
              <w:t>11</w:t>
            </w:r>
          </w:p>
        </w:tc>
        <w:tc>
          <w:tcPr>
            <w:tcW w:type="dxa" w:w="2340"/>
            <w:shd w:fill="E2EFDA" w:color="auto" w:val="clear"/>
          </w:tcPr>
          <w:p>
            <w:pPr>
              <w:jc w:val="center"/>
            </w:pPr>
            <w:r>
              <w:rPr>
                <w:rFonts w:ascii="Calibri" w:hAnsi="Calibri"/>
                <w:b w:val="0"/>
                <w:i w:val="0"/>
                <w:sz w:val="20"/>
              </w:rPr>
              <w:t>107</w:t>
            </w:r>
          </w:p>
        </w:tc>
      </w:tr>
      <w:tr>
        <w:tc>
          <w:tcPr>
            <w:tcW w:type="dxa" w:w="2340"/>
            <w:shd w:fill="FFF2CC" w:color="auto" w:val="clear"/>
          </w:tcPr>
          <w:p>
            <w:pPr>
              <w:jc w:val="left"/>
            </w:pPr>
            <w:r>
              <w:rPr>
                <w:rFonts w:ascii="Calibri" w:hAnsi="Calibri"/>
                <w:b w:val="0"/>
                <w:i w:val="0"/>
                <w:sz w:val="20"/>
              </w:rPr>
              <w:t>North West</w:t>
            </w:r>
          </w:p>
        </w:tc>
        <w:tc>
          <w:tcPr>
            <w:tcW w:type="dxa" w:w="2340"/>
            <w:shd w:fill="FFF2CC" w:color="auto" w:val="clear"/>
          </w:tcPr>
          <w:p>
            <w:pPr>
              <w:jc w:val="left"/>
            </w:pPr>
            <w:r>
              <w:rPr>
                <w:rFonts w:ascii="Calibri" w:hAnsi="Calibri"/>
                <w:b w:val="0"/>
                <w:i w:val="0"/>
                <w:sz w:val="20"/>
              </w:rPr>
              <w:t>Jigawa</w:t>
            </w:r>
          </w:p>
        </w:tc>
        <w:tc>
          <w:tcPr>
            <w:tcW w:type="dxa" w:w="2340"/>
            <w:shd w:fill="FFF2CC" w:color="auto" w:val="clear"/>
          </w:tcPr>
          <w:p>
            <w:pPr>
              <w:jc w:val="center"/>
            </w:pPr>
            <w:r>
              <w:rPr>
                <w:rFonts w:ascii="Calibri" w:hAnsi="Calibri"/>
                <w:b w:val="0"/>
                <w:i w:val="0"/>
                <w:sz w:val="20"/>
              </w:rPr>
              <w:t>13</w:t>
            </w:r>
          </w:p>
        </w:tc>
        <w:tc>
          <w:tcPr>
            <w:tcW w:type="dxa" w:w="2340"/>
            <w:shd w:fill="FFF2CC" w:color="auto" w:val="clear"/>
          </w:tcPr>
          <w:p>
            <w:pPr>
              <w:jc w:val="center"/>
            </w:pPr>
            <w:r>
              <w:rPr>
                <w:rFonts w:ascii="Calibri" w:hAnsi="Calibri"/>
                <w:b w:val="0"/>
                <w:i w:val="0"/>
                <w:sz w:val="20"/>
              </w:rPr>
              <w:t>127</w:t>
            </w:r>
          </w:p>
        </w:tc>
      </w:tr>
      <w:tr>
        <w:tc>
          <w:tcPr>
            <w:tcW w:type="dxa" w:w="2340"/>
            <w:shd w:fill="FFF2CC" w:color="auto" w:val="clear"/>
          </w:tcPr>
          <w:p>
            <w:pPr>
              <w:jc w:val="left"/>
            </w:pPr>
            <w:r>
              <w:rPr>
                <w:rFonts w:ascii="Calibri" w:hAnsi="Calibri"/>
                <w:b w:val="0"/>
                <w:i w:val="0"/>
                <w:sz w:val="20"/>
              </w:rPr>
              <w:t>North West</w:t>
            </w:r>
          </w:p>
        </w:tc>
        <w:tc>
          <w:tcPr>
            <w:tcW w:type="dxa" w:w="2340"/>
            <w:shd w:fill="FFF2CC" w:color="auto" w:val="clear"/>
          </w:tcPr>
          <w:p>
            <w:pPr>
              <w:jc w:val="left"/>
            </w:pPr>
            <w:r>
              <w:rPr>
                <w:rFonts w:ascii="Calibri" w:hAnsi="Calibri"/>
                <w:b w:val="0"/>
                <w:i w:val="0"/>
                <w:sz w:val="20"/>
              </w:rPr>
              <w:t>Kaduna</w:t>
            </w:r>
          </w:p>
        </w:tc>
        <w:tc>
          <w:tcPr>
            <w:tcW w:type="dxa" w:w="2340"/>
            <w:shd w:fill="FFF2CC" w:color="auto" w:val="clear"/>
          </w:tcPr>
          <w:p>
            <w:pPr>
              <w:jc w:val="center"/>
            </w:pPr>
            <w:r>
              <w:rPr>
                <w:rFonts w:ascii="Calibri" w:hAnsi="Calibri"/>
                <w:b w:val="0"/>
                <w:i w:val="0"/>
                <w:sz w:val="20"/>
              </w:rPr>
              <w:t>12</w:t>
            </w:r>
          </w:p>
        </w:tc>
        <w:tc>
          <w:tcPr>
            <w:tcW w:type="dxa" w:w="2340"/>
            <w:shd w:fill="FFF2CC" w:color="auto" w:val="clear"/>
          </w:tcPr>
          <w:p>
            <w:pPr>
              <w:jc w:val="center"/>
            </w:pPr>
            <w:r>
              <w:rPr>
                <w:rFonts w:ascii="Calibri" w:hAnsi="Calibri"/>
                <w:b w:val="0"/>
                <w:i w:val="0"/>
                <w:sz w:val="20"/>
              </w:rPr>
              <w:t>112</w:t>
            </w:r>
          </w:p>
        </w:tc>
      </w:tr>
      <w:tr>
        <w:tc>
          <w:tcPr>
            <w:tcW w:type="dxa" w:w="2340"/>
            <w:shd w:fill="FFF2CC" w:color="auto" w:val="clear"/>
          </w:tcPr>
          <w:p>
            <w:pPr>
              <w:jc w:val="left"/>
            </w:pPr>
            <w:r>
              <w:rPr>
                <w:rFonts w:ascii="Calibri" w:hAnsi="Calibri"/>
                <w:b w:val="0"/>
                <w:i w:val="0"/>
                <w:sz w:val="20"/>
              </w:rPr>
              <w:t>North West</w:t>
            </w:r>
          </w:p>
        </w:tc>
        <w:tc>
          <w:tcPr>
            <w:tcW w:type="dxa" w:w="2340"/>
            <w:shd w:fill="FFF2CC" w:color="auto" w:val="clear"/>
          </w:tcPr>
          <w:p>
            <w:pPr>
              <w:jc w:val="left"/>
            </w:pPr>
            <w:r>
              <w:rPr>
                <w:rFonts w:ascii="Calibri" w:hAnsi="Calibri"/>
                <w:b w:val="0"/>
                <w:i w:val="0"/>
                <w:sz w:val="20"/>
              </w:rPr>
              <w:t>Kano</w:t>
            </w:r>
          </w:p>
        </w:tc>
        <w:tc>
          <w:tcPr>
            <w:tcW w:type="dxa" w:w="2340"/>
            <w:shd w:fill="FFF2CC" w:color="auto" w:val="clear"/>
          </w:tcPr>
          <w:p>
            <w:pPr>
              <w:jc w:val="center"/>
            </w:pPr>
            <w:r>
              <w:rPr>
                <w:rFonts w:ascii="Calibri" w:hAnsi="Calibri"/>
                <w:b w:val="0"/>
                <w:i w:val="0"/>
                <w:sz w:val="20"/>
              </w:rPr>
              <w:t>20</w:t>
            </w:r>
          </w:p>
        </w:tc>
        <w:tc>
          <w:tcPr>
            <w:tcW w:type="dxa" w:w="2340"/>
            <w:shd w:fill="FFF2CC" w:color="auto" w:val="clear"/>
          </w:tcPr>
          <w:p>
            <w:pPr>
              <w:jc w:val="center"/>
            </w:pPr>
            <w:r>
              <w:rPr>
                <w:rFonts w:ascii="Calibri" w:hAnsi="Calibri"/>
                <w:b w:val="0"/>
                <w:i w:val="0"/>
                <w:sz w:val="20"/>
              </w:rPr>
              <w:t>195</w:t>
            </w:r>
          </w:p>
        </w:tc>
      </w:tr>
      <w:tr>
        <w:tc>
          <w:tcPr>
            <w:tcW w:type="dxa" w:w="2340"/>
            <w:shd w:fill="FFF2CC" w:color="auto" w:val="clear"/>
          </w:tcPr>
          <w:p>
            <w:pPr>
              <w:jc w:val="left"/>
            </w:pPr>
            <w:r>
              <w:rPr>
                <w:rFonts w:ascii="Calibri" w:hAnsi="Calibri"/>
                <w:b w:val="0"/>
                <w:i w:val="0"/>
                <w:sz w:val="20"/>
              </w:rPr>
              <w:t>North West</w:t>
            </w:r>
          </w:p>
        </w:tc>
        <w:tc>
          <w:tcPr>
            <w:tcW w:type="dxa" w:w="2340"/>
            <w:shd w:fill="FFF2CC" w:color="auto" w:val="clear"/>
          </w:tcPr>
          <w:p>
            <w:pPr>
              <w:jc w:val="left"/>
            </w:pPr>
            <w:r>
              <w:rPr>
                <w:rFonts w:ascii="Calibri" w:hAnsi="Calibri"/>
                <w:b w:val="0"/>
                <w:i w:val="0"/>
                <w:sz w:val="20"/>
              </w:rPr>
              <w:t>Katsina</w:t>
            </w:r>
          </w:p>
        </w:tc>
        <w:tc>
          <w:tcPr>
            <w:tcW w:type="dxa" w:w="2340"/>
            <w:shd w:fill="FFF2CC" w:color="auto" w:val="clear"/>
          </w:tcPr>
          <w:p>
            <w:pPr>
              <w:jc w:val="center"/>
            </w:pPr>
            <w:r>
              <w:rPr>
                <w:rFonts w:ascii="Calibri" w:hAnsi="Calibri"/>
                <w:b w:val="0"/>
                <w:i w:val="0"/>
                <w:sz w:val="20"/>
              </w:rPr>
              <w:t>18</w:t>
            </w:r>
          </w:p>
        </w:tc>
        <w:tc>
          <w:tcPr>
            <w:tcW w:type="dxa" w:w="2340"/>
            <w:shd w:fill="FFF2CC" w:color="auto" w:val="clear"/>
          </w:tcPr>
          <w:p>
            <w:pPr>
              <w:jc w:val="center"/>
            </w:pPr>
            <w:r>
              <w:rPr>
                <w:rFonts w:ascii="Calibri" w:hAnsi="Calibri"/>
                <w:b w:val="0"/>
                <w:i w:val="0"/>
                <w:sz w:val="20"/>
              </w:rPr>
              <w:t>176</w:t>
            </w:r>
          </w:p>
        </w:tc>
      </w:tr>
      <w:tr>
        <w:tc>
          <w:tcPr>
            <w:tcW w:type="dxa" w:w="2340"/>
            <w:shd w:fill="FFF2CC" w:color="auto" w:val="clear"/>
          </w:tcPr>
          <w:p>
            <w:pPr>
              <w:jc w:val="left"/>
            </w:pPr>
            <w:r>
              <w:rPr>
                <w:rFonts w:ascii="Calibri" w:hAnsi="Calibri"/>
                <w:b w:val="0"/>
                <w:i w:val="0"/>
                <w:sz w:val="20"/>
              </w:rPr>
              <w:t>North West</w:t>
            </w:r>
          </w:p>
        </w:tc>
        <w:tc>
          <w:tcPr>
            <w:tcW w:type="dxa" w:w="2340"/>
            <w:shd w:fill="FFF2CC" w:color="auto" w:val="clear"/>
          </w:tcPr>
          <w:p>
            <w:pPr>
              <w:jc w:val="left"/>
            </w:pPr>
            <w:r>
              <w:rPr>
                <w:rFonts w:ascii="Calibri" w:hAnsi="Calibri"/>
                <w:b w:val="0"/>
                <w:i w:val="0"/>
                <w:sz w:val="20"/>
              </w:rPr>
              <w:t>Kebbi</w:t>
            </w:r>
          </w:p>
        </w:tc>
        <w:tc>
          <w:tcPr>
            <w:tcW w:type="dxa" w:w="2340"/>
            <w:shd w:fill="FFF2CC" w:color="auto" w:val="clear"/>
          </w:tcPr>
          <w:p>
            <w:pPr>
              <w:jc w:val="center"/>
            </w:pPr>
            <w:r>
              <w:rPr>
                <w:rFonts w:ascii="Calibri" w:hAnsi="Calibri"/>
                <w:b w:val="0"/>
                <w:i w:val="0"/>
                <w:sz w:val="20"/>
              </w:rPr>
              <w:t>10</w:t>
            </w:r>
          </w:p>
        </w:tc>
        <w:tc>
          <w:tcPr>
            <w:tcW w:type="dxa" w:w="2340"/>
            <w:shd w:fill="FFF2CC" w:color="auto" w:val="clear"/>
          </w:tcPr>
          <w:p>
            <w:pPr>
              <w:jc w:val="center"/>
            </w:pPr>
            <w:r>
              <w:rPr>
                <w:rFonts w:ascii="Calibri" w:hAnsi="Calibri"/>
                <w:b w:val="0"/>
                <w:i w:val="0"/>
                <w:sz w:val="20"/>
              </w:rPr>
              <w:t>99</w:t>
            </w:r>
          </w:p>
        </w:tc>
      </w:tr>
      <w:tr>
        <w:tc>
          <w:tcPr>
            <w:tcW w:type="dxa" w:w="2340"/>
            <w:shd w:fill="FFF2CC" w:color="auto" w:val="clear"/>
          </w:tcPr>
          <w:p>
            <w:pPr>
              <w:jc w:val="left"/>
            </w:pPr>
            <w:r>
              <w:rPr>
                <w:rFonts w:ascii="Calibri" w:hAnsi="Calibri"/>
                <w:b w:val="0"/>
                <w:i w:val="0"/>
                <w:sz w:val="20"/>
              </w:rPr>
              <w:t>North West</w:t>
            </w:r>
          </w:p>
        </w:tc>
        <w:tc>
          <w:tcPr>
            <w:tcW w:type="dxa" w:w="2340"/>
            <w:shd w:fill="FFF2CC" w:color="auto" w:val="clear"/>
          </w:tcPr>
          <w:p>
            <w:pPr>
              <w:jc w:val="left"/>
            </w:pPr>
            <w:r>
              <w:rPr>
                <w:rFonts w:ascii="Calibri" w:hAnsi="Calibri"/>
                <w:b w:val="0"/>
                <w:i w:val="0"/>
                <w:sz w:val="20"/>
              </w:rPr>
              <w:t>Sokoto</w:t>
            </w:r>
          </w:p>
        </w:tc>
        <w:tc>
          <w:tcPr>
            <w:tcW w:type="dxa" w:w="2340"/>
            <w:shd w:fill="FFF2CC" w:color="auto" w:val="clear"/>
          </w:tcPr>
          <w:p>
            <w:pPr>
              <w:jc w:val="center"/>
            </w:pPr>
            <w:r>
              <w:rPr>
                <w:rFonts w:ascii="Calibri" w:hAnsi="Calibri"/>
                <w:b w:val="0"/>
                <w:i w:val="0"/>
                <w:sz w:val="20"/>
              </w:rPr>
              <w:t>8</w:t>
            </w:r>
          </w:p>
        </w:tc>
        <w:tc>
          <w:tcPr>
            <w:tcW w:type="dxa" w:w="2340"/>
            <w:shd w:fill="FFF2CC" w:color="auto" w:val="clear"/>
          </w:tcPr>
          <w:p>
            <w:pPr>
              <w:jc w:val="center"/>
            </w:pPr>
            <w:r>
              <w:rPr>
                <w:rFonts w:ascii="Calibri" w:hAnsi="Calibri"/>
                <w:b w:val="0"/>
                <w:i w:val="0"/>
                <w:sz w:val="20"/>
              </w:rPr>
              <w:t>81</w:t>
            </w:r>
          </w:p>
        </w:tc>
      </w:tr>
      <w:tr>
        <w:tc>
          <w:tcPr>
            <w:tcW w:type="dxa" w:w="2340"/>
            <w:shd w:fill="FFF2CC" w:color="auto" w:val="clear"/>
          </w:tcPr>
          <w:p>
            <w:pPr>
              <w:jc w:val="left"/>
            </w:pPr>
            <w:r>
              <w:rPr>
                <w:rFonts w:ascii="Calibri" w:hAnsi="Calibri"/>
                <w:b w:val="0"/>
                <w:i w:val="0"/>
                <w:sz w:val="20"/>
              </w:rPr>
              <w:t>North West</w:t>
            </w:r>
          </w:p>
        </w:tc>
        <w:tc>
          <w:tcPr>
            <w:tcW w:type="dxa" w:w="2340"/>
            <w:shd w:fill="FFF2CC" w:color="auto" w:val="clear"/>
          </w:tcPr>
          <w:p>
            <w:pPr>
              <w:jc w:val="left"/>
            </w:pPr>
            <w:r>
              <w:rPr>
                <w:rFonts w:ascii="Calibri" w:hAnsi="Calibri"/>
                <w:b w:val="0"/>
                <w:i w:val="0"/>
                <w:sz w:val="20"/>
              </w:rPr>
              <w:t>Zamfara</w:t>
            </w:r>
          </w:p>
        </w:tc>
        <w:tc>
          <w:tcPr>
            <w:tcW w:type="dxa" w:w="2340"/>
            <w:shd w:fill="FFF2CC" w:color="auto" w:val="clear"/>
          </w:tcPr>
          <w:p>
            <w:pPr>
              <w:jc w:val="center"/>
            </w:pPr>
            <w:r>
              <w:rPr>
                <w:rFonts w:ascii="Calibri" w:hAnsi="Calibri"/>
                <w:b w:val="0"/>
                <w:i w:val="0"/>
                <w:sz w:val="20"/>
              </w:rPr>
              <w:t>9</w:t>
            </w:r>
          </w:p>
        </w:tc>
        <w:tc>
          <w:tcPr>
            <w:tcW w:type="dxa" w:w="2340"/>
            <w:shd w:fill="FFF2CC" w:color="auto" w:val="clear"/>
          </w:tcPr>
          <w:p>
            <w:pPr>
              <w:jc w:val="center"/>
            </w:pPr>
            <w:r>
              <w:rPr>
                <w:rFonts w:ascii="Calibri" w:hAnsi="Calibri"/>
                <w:b w:val="0"/>
                <w:i w:val="0"/>
                <w:sz w:val="20"/>
              </w:rPr>
              <w:t>91</w:t>
            </w:r>
          </w:p>
        </w:tc>
      </w:tr>
      <w:tr>
        <w:tc>
          <w:tcPr>
            <w:tcW w:type="dxa" w:w="2340"/>
            <w:shd w:fill="FCE4D6" w:color="auto" w:val="clear"/>
          </w:tcPr>
          <w:p>
            <w:pPr>
              <w:jc w:val="left"/>
            </w:pPr>
            <w:r>
              <w:rPr>
                <w:rFonts w:ascii="Calibri" w:hAnsi="Calibri"/>
                <w:b w:val="0"/>
                <w:i w:val="0"/>
                <w:sz w:val="20"/>
              </w:rPr>
              <w:t>South East</w:t>
            </w:r>
          </w:p>
        </w:tc>
        <w:tc>
          <w:tcPr>
            <w:tcW w:type="dxa" w:w="2340"/>
            <w:shd w:fill="FCE4D6" w:color="auto" w:val="clear"/>
          </w:tcPr>
          <w:p>
            <w:pPr>
              <w:jc w:val="left"/>
            </w:pPr>
            <w:r>
              <w:rPr>
                <w:rFonts w:ascii="Calibri" w:hAnsi="Calibri"/>
                <w:b w:val="0"/>
                <w:i w:val="0"/>
                <w:sz w:val="20"/>
              </w:rPr>
              <w:t>Abia</w:t>
            </w:r>
          </w:p>
        </w:tc>
        <w:tc>
          <w:tcPr>
            <w:tcW w:type="dxa" w:w="2340"/>
            <w:shd w:fill="FCE4D6" w:color="auto" w:val="clear"/>
          </w:tcPr>
          <w:p>
            <w:pPr>
              <w:jc w:val="center"/>
            </w:pPr>
            <w:r>
              <w:rPr>
                <w:rFonts w:ascii="Calibri" w:hAnsi="Calibri"/>
                <w:b w:val="0"/>
                <w:i w:val="0"/>
                <w:sz w:val="20"/>
              </w:rPr>
              <w:t>11</w:t>
            </w:r>
          </w:p>
        </w:tc>
        <w:tc>
          <w:tcPr>
            <w:tcW w:type="dxa" w:w="2340"/>
            <w:shd w:fill="FCE4D6" w:color="auto" w:val="clear"/>
          </w:tcPr>
          <w:p>
            <w:pPr>
              <w:jc w:val="center"/>
            </w:pPr>
            <w:r>
              <w:rPr>
                <w:rFonts w:ascii="Calibri" w:hAnsi="Calibri"/>
                <w:b w:val="0"/>
                <w:i w:val="0"/>
                <w:sz w:val="20"/>
              </w:rPr>
              <w:t>100</w:t>
            </w:r>
          </w:p>
        </w:tc>
      </w:tr>
      <w:tr>
        <w:tc>
          <w:tcPr>
            <w:tcW w:type="dxa" w:w="2340"/>
            <w:shd w:fill="FCE4D6" w:color="auto" w:val="clear"/>
          </w:tcPr>
          <w:p>
            <w:pPr>
              <w:jc w:val="left"/>
            </w:pPr>
            <w:r>
              <w:rPr>
                <w:rFonts w:ascii="Calibri" w:hAnsi="Calibri"/>
                <w:b w:val="0"/>
                <w:i w:val="0"/>
                <w:sz w:val="20"/>
              </w:rPr>
              <w:t>South East</w:t>
            </w:r>
          </w:p>
        </w:tc>
        <w:tc>
          <w:tcPr>
            <w:tcW w:type="dxa" w:w="2340"/>
            <w:shd w:fill="FCE4D6" w:color="auto" w:val="clear"/>
          </w:tcPr>
          <w:p>
            <w:pPr>
              <w:jc w:val="left"/>
            </w:pPr>
            <w:r>
              <w:rPr>
                <w:rFonts w:ascii="Calibri" w:hAnsi="Calibri"/>
                <w:b w:val="0"/>
                <w:i w:val="0"/>
                <w:sz w:val="20"/>
              </w:rPr>
              <w:t>Anambra</w:t>
            </w:r>
          </w:p>
        </w:tc>
        <w:tc>
          <w:tcPr>
            <w:tcW w:type="dxa" w:w="2340"/>
            <w:shd w:fill="FCE4D6" w:color="auto" w:val="clear"/>
          </w:tcPr>
          <w:p>
            <w:pPr>
              <w:jc w:val="center"/>
            </w:pPr>
            <w:r>
              <w:rPr>
                <w:rFonts w:ascii="Calibri" w:hAnsi="Calibri"/>
                <w:b w:val="0"/>
                <w:i w:val="0"/>
                <w:sz w:val="20"/>
              </w:rPr>
              <w:t>22</w:t>
            </w:r>
          </w:p>
        </w:tc>
        <w:tc>
          <w:tcPr>
            <w:tcW w:type="dxa" w:w="2340"/>
            <w:shd w:fill="FCE4D6" w:color="auto" w:val="clear"/>
          </w:tcPr>
          <w:p>
            <w:pPr>
              <w:jc w:val="center"/>
            </w:pPr>
            <w:r>
              <w:rPr>
                <w:rFonts w:ascii="Calibri" w:hAnsi="Calibri"/>
                <w:b w:val="0"/>
                <w:i w:val="0"/>
                <w:sz w:val="20"/>
              </w:rPr>
              <w:t>202</w:t>
            </w:r>
          </w:p>
        </w:tc>
      </w:tr>
      <w:tr>
        <w:tc>
          <w:tcPr>
            <w:tcW w:type="dxa" w:w="2340"/>
            <w:shd w:fill="FCE4D6" w:color="auto" w:val="clear"/>
          </w:tcPr>
          <w:p>
            <w:pPr>
              <w:jc w:val="left"/>
            </w:pPr>
            <w:r>
              <w:rPr>
                <w:rFonts w:ascii="Calibri" w:hAnsi="Calibri"/>
                <w:b w:val="0"/>
                <w:i w:val="0"/>
                <w:sz w:val="20"/>
              </w:rPr>
              <w:t>South East</w:t>
            </w:r>
          </w:p>
        </w:tc>
        <w:tc>
          <w:tcPr>
            <w:tcW w:type="dxa" w:w="2340"/>
            <w:shd w:fill="FCE4D6" w:color="auto" w:val="clear"/>
          </w:tcPr>
          <w:p>
            <w:pPr>
              <w:jc w:val="left"/>
            </w:pPr>
            <w:r>
              <w:rPr>
                <w:rFonts w:ascii="Calibri" w:hAnsi="Calibri"/>
                <w:b w:val="0"/>
                <w:i w:val="0"/>
                <w:sz w:val="20"/>
              </w:rPr>
              <w:t>Ebonyi</w:t>
            </w:r>
          </w:p>
        </w:tc>
        <w:tc>
          <w:tcPr>
            <w:tcW w:type="dxa" w:w="2340"/>
            <w:shd w:fill="FCE4D6" w:color="auto" w:val="clear"/>
          </w:tcPr>
          <w:p>
            <w:pPr>
              <w:jc w:val="center"/>
            </w:pPr>
            <w:r>
              <w:rPr>
                <w:rFonts w:ascii="Calibri" w:hAnsi="Calibri"/>
                <w:b w:val="0"/>
                <w:i w:val="0"/>
                <w:sz w:val="20"/>
              </w:rPr>
              <w:t>14</w:t>
            </w:r>
          </w:p>
        </w:tc>
        <w:tc>
          <w:tcPr>
            <w:tcW w:type="dxa" w:w="2340"/>
            <w:shd w:fill="FCE4D6" w:color="auto" w:val="clear"/>
          </w:tcPr>
          <w:p>
            <w:pPr>
              <w:jc w:val="center"/>
            </w:pPr>
            <w:r>
              <w:rPr>
                <w:rFonts w:ascii="Calibri" w:hAnsi="Calibri"/>
                <w:b w:val="0"/>
                <w:i w:val="0"/>
                <w:sz w:val="20"/>
              </w:rPr>
              <w:t>142</w:t>
            </w:r>
          </w:p>
        </w:tc>
      </w:tr>
      <w:tr>
        <w:tc>
          <w:tcPr>
            <w:tcW w:type="dxa" w:w="2340"/>
            <w:shd w:fill="FCE4D6" w:color="auto" w:val="clear"/>
          </w:tcPr>
          <w:p>
            <w:pPr>
              <w:jc w:val="left"/>
            </w:pPr>
            <w:r>
              <w:rPr>
                <w:rFonts w:ascii="Calibri" w:hAnsi="Calibri"/>
                <w:b w:val="0"/>
                <w:i w:val="0"/>
                <w:sz w:val="20"/>
              </w:rPr>
              <w:t>South East</w:t>
            </w:r>
          </w:p>
        </w:tc>
        <w:tc>
          <w:tcPr>
            <w:tcW w:type="dxa" w:w="2340"/>
            <w:shd w:fill="FCE4D6" w:color="auto" w:val="clear"/>
          </w:tcPr>
          <w:p>
            <w:pPr>
              <w:jc w:val="left"/>
            </w:pPr>
            <w:r>
              <w:rPr>
                <w:rFonts w:ascii="Calibri" w:hAnsi="Calibri"/>
                <w:b w:val="0"/>
                <w:i w:val="0"/>
                <w:sz w:val="20"/>
              </w:rPr>
              <w:t>Enugu</w:t>
            </w:r>
          </w:p>
        </w:tc>
        <w:tc>
          <w:tcPr>
            <w:tcW w:type="dxa" w:w="2340"/>
            <w:shd w:fill="FCE4D6" w:color="auto" w:val="clear"/>
          </w:tcPr>
          <w:p>
            <w:pPr>
              <w:jc w:val="center"/>
            </w:pPr>
            <w:r>
              <w:rPr>
                <w:rFonts w:ascii="Calibri" w:hAnsi="Calibri"/>
                <w:b w:val="0"/>
                <w:i w:val="0"/>
                <w:sz w:val="20"/>
              </w:rPr>
              <w:t>14</w:t>
            </w:r>
          </w:p>
        </w:tc>
        <w:tc>
          <w:tcPr>
            <w:tcW w:type="dxa" w:w="2340"/>
            <w:shd w:fill="FCE4D6" w:color="auto" w:val="clear"/>
          </w:tcPr>
          <w:p>
            <w:pPr>
              <w:jc w:val="center"/>
            </w:pPr>
            <w:r>
              <w:rPr>
                <w:rFonts w:ascii="Calibri" w:hAnsi="Calibri"/>
                <w:b w:val="0"/>
                <w:i w:val="0"/>
                <w:sz w:val="20"/>
              </w:rPr>
              <w:t>127</w:t>
            </w:r>
          </w:p>
        </w:tc>
      </w:tr>
      <w:tr>
        <w:tc>
          <w:tcPr>
            <w:tcW w:type="dxa" w:w="2340"/>
            <w:shd w:fill="FCE4D6" w:color="auto" w:val="clear"/>
          </w:tcPr>
          <w:p>
            <w:pPr>
              <w:jc w:val="left"/>
            </w:pPr>
            <w:r>
              <w:rPr>
                <w:rFonts w:ascii="Calibri" w:hAnsi="Calibri"/>
                <w:b w:val="0"/>
                <w:i w:val="0"/>
                <w:sz w:val="20"/>
              </w:rPr>
              <w:t>South East</w:t>
            </w:r>
          </w:p>
        </w:tc>
        <w:tc>
          <w:tcPr>
            <w:tcW w:type="dxa" w:w="2340"/>
            <w:shd w:fill="FCE4D6" w:color="auto" w:val="clear"/>
          </w:tcPr>
          <w:p>
            <w:pPr>
              <w:jc w:val="left"/>
            </w:pPr>
            <w:r>
              <w:rPr>
                <w:rFonts w:ascii="Calibri" w:hAnsi="Calibri"/>
                <w:b w:val="0"/>
                <w:i w:val="0"/>
                <w:sz w:val="20"/>
              </w:rPr>
              <w:t>Imo</w:t>
            </w:r>
          </w:p>
        </w:tc>
        <w:tc>
          <w:tcPr>
            <w:tcW w:type="dxa" w:w="2340"/>
            <w:shd w:fill="FCE4D6" w:color="auto" w:val="clear"/>
          </w:tcPr>
          <w:p>
            <w:pPr>
              <w:jc w:val="center"/>
            </w:pPr>
            <w:r>
              <w:rPr>
                <w:rFonts w:ascii="Calibri" w:hAnsi="Calibri"/>
                <w:b w:val="0"/>
                <w:i w:val="0"/>
                <w:sz w:val="20"/>
              </w:rPr>
              <w:t>19</w:t>
            </w:r>
          </w:p>
        </w:tc>
        <w:tc>
          <w:tcPr>
            <w:tcW w:type="dxa" w:w="2340"/>
            <w:shd w:fill="FCE4D6" w:color="auto" w:val="clear"/>
          </w:tcPr>
          <w:p>
            <w:pPr>
              <w:jc w:val="center"/>
            </w:pPr>
            <w:r>
              <w:rPr>
                <w:rFonts w:ascii="Calibri" w:hAnsi="Calibri"/>
                <w:b w:val="0"/>
                <w:i w:val="0"/>
                <w:sz w:val="20"/>
              </w:rPr>
              <w:t>182</w:t>
            </w:r>
          </w:p>
        </w:tc>
      </w:tr>
      <w:tr>
        <w:tc>
          <w:tcPr>
            <w:tcW w:type="dxa" w:w="2340"/>
            <w:shd w:fill="EAD1DC" w:color="auto" w:val="clear"/>
          </w:tcPr>
          <w:p>
            <w:pPr>
              <w:jc w:val="left"/>
            </w:pPr>
            <w:r>
              <w:rPr>
                <w:rFonts w:ascii="Calibri" w:hAnsi="Calibri"/>
                <w:b w:val="0"/>
                <w:i w:val="0"/>
                <w:sz w:val="20"/>
              </w:rPr>
              <w:t>South South</w:t>
            </w:r>
          </w:p>
        </w:tc>
        <w:tc>
          <w:tcPr>
            <w:tcW w:type="dxa" w:w="2340"/>
            <w:shd w:fill="EAD1DC" w:color="auto" w:val="clear"/>
          </w:tcPr>
          <w:p>
            <w:pPr>
              <w:jc w:val="left"/>
            </w:pPr>
            <w:r>
              <w:rPr>
                <w:rFonts w:ascii="Calibri" w:hAnsi="Calibri"/>
                <w:b w:val="0"/>
                <w:i w:val="0"/>
                <w:sz w:val="20"/>
              </w:rPr>
              <w:t>Akwa Ibom</w:t>
            </w:r>
          </w:p>
        </w:tc>
        <w:tc>
          <w:tcPr>
            <w:tcW w:type="dxa" w:w="2340"/>
            <w:shd w:fill="EAD1DC" w:color="auto" w:val="clear"/>
          </w:tcPr>
          <w:p>
            <w:pPr>
              <w:jc w:val="center"/>
            </w:pPr>
            <w:r>
              <w:rPr>
                <w:rFonts w:ascii="Calibri" w:hAnsi="Calibri"/>
                <w:b w:val="0"/>
                <w:i w:val="0"/>
                <w:sz w:val="20"/>
              </w:rPr>
              <w:t>15</w:t>
            </w:r>
          </w:p>
        </w:tc>
        <w:tc>
          <w:tcPr>
            <w:tcW w:type="dxa" w:w="2340"/>
            <w:shd w:fill="EAD1DC" w:color="auto" w:val="clear"/>
          </w:tcPr>
          <w:p>
            <w:pPr>
              <w:jc w:val="center"/>
            </w:pPr>
            <w:r>
              <w:rPr>
                <w:rFonts w:ascii="Calibri" w:hAnsi="Calibri"/>
                <w:b w:val="0"/>
                <w:i w:val="0"/>
                <w:sz w:val="20"/>
              </w:rPr>
              <w:t>147</w:t>
            </w:r>
          </w:p>
        </w:tc>
      </w:tr>
      <w:tr>
        <w:tc>
          <w:tcPr>
            <w:tcW w:type="dxa" w:w="2340"/>
            <w:shd w:fill="EAD1DC" w:color="auto" w:val="clear"/>
          </w:tcPr>
          <w:p>
            <w:pPr>
              <w:jc w:val="left"/>
            </w:pPr>
            <w:r>
              <w:rPr>
                <w:rFonts w:ascii="Calibri" w:hAnsi="Calibri"/>
                <w:b w:val="0"/>
                <w:i w:val="0"/>
                <w:sz w:val="20"/>
              </w:rPr>
              <w:t>South South</w:t>
            </w:r>
          </w:p>
        </w:tc>
        <w:tc>
          <w:tcPr>
            <w:tcW w:type="dxa" w:w="2340"/>
            <w:shd w:fill="EAD1DC" w:color="auto" w:val="clear"/>
          </w:tcPr>
          <w:p>
            <w:pPr>
              <w:jc w:val="left"/>
            </w:pPr>
            <w:r>
              <w:rPr>
                <w:rFonts w:ascii="Calibri" w:hAnsi="Calibri"/>
                <w:b w:val="0"/>
                <w:i w:val="0"/>
                <w:sz w:val="20"/>
              </w:rPr>
              <w:t>Bayelsa</w:t>
            </w:r>
          </w:p>
        </w:tc>
        <w:tc>
          <w:tcPr>
            <w:tcW w:type="dxa" w:w="2340"/>
            <w:shd w:fill="EAD1DC" w:color="auto" w:val="clear"/>
          </w:tcPr>
          <w:p>
            <w:pPr>
              <w:jc w:val="center"/>
            </w:pPr>
            <w:r>
              <w:rPr>
                <w:rFonts w:ascii="Calibri" w:hAnsi="Calibri"/>
                <w:b w:val="0"/>
                <w:i w:val="0"/>
                <w:sz w:val="20"/>
              </w:rPr>
              <w:t>7</w:t>
            </w:r>
          </w:p>
        </w:tc>
        <w:tc>
          <w:tcPr>
            <w:tcW w:type="dxa" w:w="2340"/>
            <w:shd w:fill="EAD1DC" w:color="auto" w:val="clear"/>
          </w:tcPr>
          <w:p>
            <w:pPr>
              <w:jc w:val="center"/>
            </w:pPr>
            <w:r>
              <w:rPr>
                <w:rFonts w:ascii="Calibri" w:hAnsi="Calibri"/>
                <w:b w:val="0"/>
                <w:i w:val="0"/>
                <w:sz w:val="20"/>
              </w:rPr>
              <w:t>58</w:t>
            </w:r>
          </w:p>
        </w:tc>
      </w:tr>
      <w:tr>
        <w:tc>
          <w:tcPr>
            <w:tcW w:type="dxa" w:w="2340"/>
            <w:shd w:fill="EAD1DC" w:color="auto" w:val="clear"/>
          </w:tcPr>
          <w:p>
            <w:pPr>
              <w:jc w:val="left"/>
            </w:pPr>
            <w:r>
              <w:rPr>
                <w:rFonts w:ascii="Calibri" w:hAnsi="Calibri"/>
                <w:b w:val="0"/>
                <w:i w:val="0"/>
                <w:sz w:val="20"/>
              </w:rPr>
              <w:t>South South</w:t>
            </w:r>
          </w:p>
        </w:tc>
        <w:tc>
          <w:tcPr>
            <w:tcW w:type="dxa" w:w="2340"/>
            <w:shd w:fill="EAD1DC" w:color="auto" w:val="clear"/>
          </w:tcPr>
          <w:p>
            <w:pPr>
              <w:jc w:val="left"/>
            </w:pPr>
            <w:r>
              <w:rPr>
                <w:rFonts w:ascii="Calibri" w:hAnsi="Calibri"/>
                <w:b w:val="0"/>
                <w:i w:val="0"/>
                <w:sz w:val="20"/>
              </w:rPr>
              <w:t>Cross River</w:t>
            </w:r>
          </w:p>
        </w:tc>
        <w:tc>
          <w:tcPr>
            <w:tcW w:type="dxa" w:w="2340"/>
            <w:shd w:fill="EAD1DC" w:color="auto" w:val="clear"/>
          </w:tcPr>
          <w:p>
            <w:pPr>
              <w:jc w:val="center"/>
            </w:pPr>
            <w:r>
              <w:rPr>
                <w:rFonts w:ascii="Calibri" w:hAnsi="Calibri"/>
                <w:b w:val="0"/>
                <w:i w:val="0"/>
                <w:sz w:val="20"/>
              </w:rPr>
              <w:t>13</w:t>
            </w:r>
          </w:p>
        </w:tc>
        <w:tc>
          <w:tcPr>
            <w:tcW w:type="dxa" w:w="2340"/>
            <w:shd w:fill="EAD1DC" w:color="auto" w:val="clear"/>
          </w:tcPr>
          <w:p>
            <w:pPr>
              <w:jc w:val="center"/>
            </w:pPr>
            <w:r>
              <w:rPr>
                <w:rFonts w:ascii="Calibri" w:hAnsi="Calibri"/>
                <w:b w:val="0"/>
                <w:i w:val="0"/>
                <w:sz w:val="20"/>
              </w:rPr>
              <w:t>122</w:t>
            </w:r>
          </w:p>
        </w:tc>
      </w:tr>
      <w:tr>
        <w:tc>
          <w:tcPr>
            <w:tcW w:type="dxa" w:w="2340"/>
            <w:shd w:fill="EAD1DC" w:color="auto" w:val="clear"/>
          </w:tcPr>
          <w:p>
            <w:pPr>
              <w:jc w:val="left"/>
            </w:pPr>
            <w:r>
              <w:rPr>
                <w:rFonts w:ascii="Calibri" w:hAnsi="Calibri"/>
                <w:b w:val="0"/>
                <w:i w:val="0"/>
                <w:sz w:val="20"/>
              </w:rPr>
              <w:t>South South</w:t>
            </w:r>
          </w:p>
        </w:tc>
        <w:tc>
          <w:tcPr>
            <w:tcW w:type="dxa" w:w="2340"/>
            <w:shd w:fill="EAD1DC" w:color="auto" w:val="clear"/>
          </w:tcPr>
          <w:p>
            <w:pPr>
              <w:jc w:val="left"/>
            </w:pPr>
            <w:r>
              <w:rPr>
                <w:rFonts w:ascii="Calibri" w:hAnsi="Calibri"/>
                <w:b w:val="0"/>
                <w:i w:val="0"/>
                <w:sz w:val="20"/>
              </w:rPr>
              <w:t>Delta</w:t>
            </w:r>
          </w:p>
        </w:tc>
        <w:tc>
          <w:tcPr>
            <w:tcW w:type="dxa" w:w="2340"/>
            <w:shd w:fill="EAD1DC" w:color="auto" w:val="clear"/>
          </w:tcPr>
          <w:p>
            <w:pPr>
              <w:jc w:val="center"/>
            </w:pPr>
            <w:r>
              <w:rPr>
                <w:rFonts w:ascii="Calibri" w:hAnsi="Calibri"/>
                <w:b w:val="0"/>
                <w:i w:val="0"/>
                <w:sz w:val="20"/>
              </w:rPr>
              <w:t>14</w:t>
            </w:r>
          </w:p>
        </w:tc>
        <w:tc>
          <w:tcPr>
            <w:tcW w:type="dxa" w:w="2340"/>
            <w:shd w:fill="EAD1DC" w:color="auto" w:val="clear"/>
          </w:tcPr>
          <w:p>
            <w:pPr>
              <w:jc w:val="center"/>
            </w:pPr>
            <w:r>
              <w:rPr>
                <w:rFonts w:ascii="Calibri" w:hAnsi="Calibri"/>
                <w:b w:val="0"/>
                <w:i w:val="0"/>
                <w:sz w:val="20"/>
              </w:rPr>
              <w:t>124</w:t>
            </w:r>
          </w:p>
        </w:tc>
      </w:tr>
      <w:tr>
        <w:tc>
          <w:tcPr>
            <w:tcW w:type="dxa" w:w="2340"/>
            <w:shd w:fill="EAD1DC" w:color="auto" w:val="clear"/>
          </w:tcPr>
          <w:p>
            <w:pPr>
              <w:jc w:val="left"/>
            </w:pPr>
            <w:r>
              <w:rPr>
                <w:rFonts w:ascii="Calibri" w:hAnsi="Calibri"/>
                <w:b w:val="0"/>
                <w:i w:val="0"/>
                <w:sz w:val="20"/>
              </w:rPr>
              <w:t>South South</w:t>
            </w:r>
          </w:p>
        </w:tc>
        <w:tc>
          <w:tcPr>
            <w:tcW w:type="dxa" w:w="2340"/>
            <w:shd w:fill="EAD1DC" w:color="auto" w:val="clear"/>
          </w:tcPr>
          <w:p>
            <w:pPr>
              <w:jc w:val="left"/>
            </w:pPr>
            <w:r>
              <w:rPr>
                <w:rFonts w:ascii="Calibri" w:hAnsi="Calibri"/>
                <w:b w:val="0"/>
                <w:i w:val="0"/>
                <w:sz w:val="20"/>
              </w:rPr>
              <w:t>Edo</w:t>
            </w:r>
          </w:p>
        </w:tc>
        <w:tc>
          <w:tcPr>
            <w:tcW w:type="dxa" w:w="2340"/>
            <w:shd w:fill="EAD1DC" w:color="auto" w:val="clear"/>
          </w:tcPr>
          <w:p>
            <w:pPr>
              <w:jc w:val="center"/>
            </w:pPr>
            <w:r>
              <w:rPr>
                <w:rFonts w:ascii="Calibri" w:hAnsi="Calibri"/>
                <w:b w:val="0"/>
                <w:i w:val="0"/>
                <w:sz w:val="20"/>
              </w:rPr>
              <w:t>10</w:t>
            </w:r>
          </w:p>
        </w:tc>
        <w:tc>
          <w:tcPr>
            <w:tcW w:type="dxa" w:w="2340"/>
            <w:shd w:fill="EAD1DC" w:color="auto" w:val="clear"/>
          </w:tcPr>
          <w:p>
            <w:pPr>
              <w:jc w:val="center"/>
            </w:pPr>
            <w:r>
              <w:rPr>
                <w:rFonts w:ascii="Calibri" w:hAnsi="Calibri"/>
                <w:b w:val="0"/>
                <w:i w:val="0"/>
                <w:sz w:val="20"/>
              </w:rPr>
              <w:t>95</w:t>
            </w:r>
          </w:p>
        </w:tc>
      </w:tr>
      <w:tr>
        <w:tc>
          <w:tcPr>
            <w:tcW w:type="dxa" w:w="2340"/>
            <w:shd w:fill="EAD1DC" w:color="auto" w:val="clear"/>
          </w:tcPr>
          <w:p>
            <w:pPr>
              <w:jc w:val="left"/>
            </w:pPr>
            <w:r>
              <w:rPr>
                <w:rFonts w:ascii="Calibri" w:hAnsi="Calibri"/>
                <w:b w:val="0"/>
                <w:i w:val="0"/>
                <w:sz w:val="20"/>
              </w:rPr>
              <w:t>South South</w:t>
            </w:r>
          </w:p>
        </w:tc>
        <w:tc>
          <w:tcPr>
            <w:tcW w:type="dxa" w:w="2340"/>
            <w:shd w:fill="EAD1DC" w:color="auto" w:val="clear"/>
          </w:tcPr>
          <w:p>
            <w:pPr>
              <w:jc w:val="left"/>
            </w:pPr>
            <w:r>
              <w:rPr>
                <w:rFonts w:ascii="Calibri" w:hAnsi="Calibri"/>
                <w:b w:val="0"/>
                <w:i w:val="0"/>
                <w:sz w:val="20"/>
              </w:rPr>
              <w:t>Rivers</w:t>
            </w:r>
          </w:p>
        </w:tc>
        <w:tc>
          <w:tcPr>
            <w:tcW w:type="dxa" w:w="2340"/>
            <w:shd w:fill="EAD1DC" w:color="auto" w:val="clear"/>
          </w:tcPr>
          <w:p>
            <w:pPr>
              <w:jc w:val="center"/>
            </w:pPr>
            <w:r>
              <w:rPr>
                <w:rFonts w:ascii="Calibri" w:hAnsi="Calibri"/>
                <w:b w:val="0"/>
                <w:i w:val="0"/>
                <w:sz w:val="20"/>
              </w:rPr>
              <w:t>21</w:t>
            </w:r>
          </w:p>
        </w:tc>
        <w:tc>
          <w:tcPr>
            <w:tcW w:type="dxa" w:w="2340"/>
            <w:shd w:fill="EAD1DC" w:color="auto" w:val="clear"/>
          </w:tcPr>
          <w:p>
            <w:pPr>
              <w:jc w:val="center"/>
            </w:pPr>
            <w:r>
              <w:rPr>
                <w:rFonts w:ascii="Calibri" w:hAnsi="Calibri"/>
                <w:b w:val="0"/>
                <w:i w:val="0"/>
                <w:sz w:val="20"/>
              </w:rPr>
              <w:t>199</w:t>
            </w:r>
          </w:p>
        </w:tc>
      </w:tr>
      <w:tr>
        <w:tc>
          <w:tcPr>
            <w:tcW w:type="dxa" w:w="2340"/>
            <w:shd w:fill="D9EAD3" w:color="auto" w:val="clear"/>
          </w:tcPr>
          <w:p>
            <w:pPr>
              <w:jc w:val="left"/>
            </w:pPr>
            <w:r>
              <w:rPr>
                <w:rFonts w:ascii="Calibri" w:hAnsi="Calibri"/>
                <w:b w:val="0"/>
                <w:i w:val="0"/>
                <w:sz w:val="20"/>
              </w:rPr>
              <w:t>South West</w:t>
            </w:r>
          </w:p>
        </w:tc>
        <w:tc>
          <w:tcPr>
            <w:tcW w:type="dxa" w:w="2340"/>
            <w:shd w:fill="D9EAD3" w:color="auto" w:val="clear"/>
          </w:tcPr>
          <w:p>
            <w:pPr>
              <w:jc w:val="left"/>
            </w:pPr>
            <w:r>
              <w:rPr>
                <w:rFonts w:ascii="Calibri" w:hAnsi="Calibri"/>
                <w:b w:val="0"/>
                <w:i w:val="0"/>
                <w:sz w:val="20"/>
              </w:rPr>
              <w:t>Ekiti</w:t>
            </w:r>
          </w:p>
        </w:tc>
        <w:tc>
          <w:tcPr>
            <w:tcW w:type="dxa" w:w="2340"/>
            <w:shd w:fill="D9EAD3" w:color="auto" w:val="clear"/>
          </w:tcPr>
          <w:p>
            <w:pPr>
              <w:jc w:val="center"/>
            </w:pPr>
            <w:r>
              <w:rPr>
                <w:rFonts w:ascii="Calibri" w:hAnsi="Calibri"/>
                <w:b w:val="0"/>
                <w:i w:val="0"/>
                <w:sz w:val="20"/>
              </w:rPr>
              <w:t>8</w:t>
            </w:r>
          </w:p>
        </w:tc>
        <w:tc>
          <w:tcPr>
            <w:tcW w:type="dxa" w:w="2340"/>
            <w:shd w:fill="D9EAD3" w:color="auto" w:val="clear"/>
          </w:tcPr>
          <w:p>
            <w:pPr>
              <w:jc w:val="center"/>
            </w:pPr>
            <w:r>
              <w:rPr>
                <w:rFonts w:ascii="Calibri" w:hAnsi="Calibri"/>
                <w:b w:val="0"/>
                <w:i w:val="0"/>
                <w:sz w:val="20"/>
              </w:rPr>
              <w:t>70</w:t>
            </w:r>
          </w:p>
        </w:tc>
      </w:tr>
      <w:tr>
        <w:tc>
          <w:tcPr>
            <w:tcW w:type="dxa" w:w="2340"/>
            <w:shd w:fill="D9EAD3" w:color="auto" w:val="clear"/>
          </w:tcPr>
          <w:p>
            <w:pPr>
              <w:jc w:val="left"/>
            </w:pPr>
            <w:r>
              <w:rPr>
                <w:rFonts w:ascii="Calibri" w:hAnsi="Calibri"/>
                <w:b w:val="0"/>
                <w:i w:val="0"/>
                <w:sz w:val="20"/>
              </w:rPr>
              <w:t>South West</w:t>
            </w:r>
          </w:p>
        </w:tc>
        <w:tc>
          <w:tcPr>
            <w:tcW w:type="dxa" w:w="2340"/>
            <w:shd w:fill="D9EAD3" w:color="auto" w:val="clear"/>
          </w:tcPr>
          <w:p>
            <w:pPr>
              <w:jc w:val="left"/>
            </w:pPr>
            <w:r>
              <w:rPr>
                <w:rFonts w:ascii="Calibri" w:hAnsi="Calibri"/>
                <w:b w:val="0"/>
                <w:i w:val="0"/>
                <w:sz w:val="20"/>
              </w:rPr>
              <w:t>Lagos</w:t>
            </w:r>
          </w:p>
        </w:tc>
        <w:tc>
          <w:tcPr>
            <w:tcW w:type="dxa" w:w="2340"/>
            <w:shd w:fill="D9EAD3" w:color="auto" w:val="clear"/>
          </w:tcPr>
          <w:p>
            <w:pPr>
              <w:jc w:val="center"/>
            </w:pPr>
            <w:r>
              <w:rPr>
                <w:rFonts w:ascii="Calibri" w:hAnsi="Calibri"/>
                <w:b w:val="0"/>
                <w:i w:val="0"/>
                <w:sz w:val="20"/>
              </w:rPr>
              <w:t>17</w:t>
            </w:r>
          </w:p>
        </w:tc>
        <w:tc>
          <w:tcPr>
            <w:tcW w:type="dxa" w:w="2340"/>
            <w:shd w:fill="D9EAD3" w:color="auto" w:val="clear"/>
          </w:tcPr>
          <w:p>
            <w:pPr>
              <w:jc w:val="center"/>
            </w:pPr>
            <w:r>
              <w:rPr>
                <w:rFonts w:ascii="Calibri" w:hAnsi="Calibri"/>
                <w:b w:val="0"/>
                <w:i w:val="0"/>
                <w:sz w:val="20"/>
              </w:rPr>
              <w:t>148</w:t>
            </w:r>
          </w:p>
        </w:tc>
      </w:tr>
      <w:tr>
        <w:tc>
          <w:tcPr>
            <w:tcW w:type="dxa" w:w="2340"/>
            <w:shd w:fill="D9EAD3" w:color="auto" w:val="clear"/>
          </w:tcPr>
          <w:p>
            <w:pPr>
              <w:jc w:val="left"/>
            </w:pPr>
            <w:r>
              <w:rPr>
                <w:rFonts w:ascii="Calibri" w:hAnsi="Calibri"/>
                <w:b w:val="0"/>
                <w:i w:val="0"/>
                <w:sz w:val="20"/>
              </w:rPr>
              <w:t>South West</w:t>
            </w:r>
          </w:p>
        </w:tc>
        <w:tc>
          <w:tcPr>
            <w:tcW w:type="dxa" w:w="2340"/>
            <w:shd w:fill="D9EAD3" w:color="auto" w:val="clear"/>
          </w:tcPr>
          <w:p>
            <w:pPr>
              <w:jc w:val="left"/>
            </w:pPr>
            <w:r>
              <w:rPr>
                <w:rFonts w:ascii="Calibri" w:hAnsi="Calibri"/>
                <w:b w:val="0"/>
                <w:i w:val="0"/>
                <w:sz w:val="20"/>
              </w:rPr>
              <w:t>Ogun</w:t>
            </w:r>
          </w:p>
        </w:tc>
        <w:tc>
          <w:tcPr>
            <w:tcW w:type="dxa" w:w="2340"/>
            <w:shd w:fill="D9EAD3" w:color="auto" w:val="clear"/>
          </w:tcPr>
          <w:p>
            <w:pPr>
              <w:jc w:val="center"/>
            </w:pPr>
            <w:r>
              <w:rPr>
                <w:rFonts w:ascii="Calibri" w:hAnsi="Calibri"/>
                <w:b w:val="0"/>
                <w:i w:val="0"/>
                <w:sz w:val="20"/>
              </w:rPr>
              <w:t>11</w:t>
            </w:r>
          </w:p>
        </w:tc>
        <w:tc>
          <w:tcPr>
            <w:tcW w:type="dxa" w:w="2340"/>
            <w:shd w:fill="D9EAD3" w:color="auto" w:val="clear"/>
          </w:tcPr>
          <w:p>
            <w:pPr>
              <w:jc w:val="center"/>
            </w:pPr>
            <w:r>
              <w:rPr>
                <w:rFonts w:ascii="Calibri" w:hAnsi="Calibri"/>
                <w:b w:val="0"/>
                <w:i w:val="0"/>
                <w:sz w:val="20"/>
              </w:rPr>
              <w:t>102</w:t>
            </w:r>
          </w:p>
        </w:tc>
      </w:tr>
      <w:tr>
        <w:tc>
          <w:tcPr>
            <w:tcW w:type="dxa" w:w="2340"/>
            <w:shd w:fill="D9EAD3" w:color="auto" w:val="clear"/>
          </w:tcPr>
          <w:p>
            <w:pPr>
              <w:jc w:val="left"/>
            </w:pPr>
            <w:r>
              <w:rPr>
                <w:rFonts w:ascii="Calibri" w:hAnsi="Calibri"/>
                <w:b w:val="0"/>
                <w:i w:val="0"/>
                <w:sz w:val="20"/>
              </w:rPr>
              <w:t>South West</w:t>
            </w:r>
          </w:p>
        </w:tc>
        <w:tc>
          <w:tcPr>
            <w:tcW w:type="dxa" w:w="2340"/>
            <w:shd w:fill="D9EAD3" w:color="auto" w:val="clear"/>
          </w:tcPr>
          <w:p>
            <w:pPr>
              <w:jc w:val="left"/>
            </w:pPr>
            <w:r>
              <w:rPr>
                <w:rFonts w:ascii="Calibri" w:hAnsi="Calibri"/>
                <w:b w:val="0"/>
                <w:i w:val="0"/>
                <w:sz w:val="20"/>
              </w:rPr>
              <w:t>Ondo</w:t>
            </w:r>
          </w:p>
        </w:tc>
        <w:tc>
          <w:tcPr>
            <w:tcW w:type="dxa" w:w="2340"/>
            <w:shd w:fill="D9EAD3" w:color="auto" w:val="clear"/>
          </w:tcPr>
          <w:p>
            <w:pPr>
              <w:jc w:val="center"/>
            </w:pPr>
            <w:r>
              <w:rPr>
                <w:rFonts w:ascii="Calibri" w:hAnsi="Calibri"/>
                <w:b w:val="0"/>
                <w:i w:val="0"/>
                <w:sz w:val="20"/>
              </w:rPr>
              <w:t>13</w:t>
            </w:r>
          </w:p>
        </w:tc>
        <w:tc>
          <w:tcPr>
            <w:tcW w:type="dxa" w:w="2340"/>
            <w:shd w:fill="D9EAD3" w:color="auto" w:val="clear"/>
          </w:tcPr>
          <w:p>
            <w:pPr>
              <w:jc w:val="center"/>
            </w:pPr>
            <w:r>
              <w:rPr>
                <w:rFonts w:ascii="Calibri" w:hAnsi="Calibri"/>
                <w:b w:val="0"/>
                <w:i w:val="0"/>
                <w:sz w:val="20"/>
              </w:rPr>
              <w:t>114</w:t>
            </w:r>
          </w:p>
        </w:tc>
      </w:tr>
      <w:tr>
        <w:tc>
          <w:tcPr>
            <w:tcW w:type="dxa" w:w="2340"/>
            <w:shd w:fill="D9EAD3" w:color="auto" w:val="clear"/>
          </w:tcPr>
          <w:p>
            <w:pPr>
              <w:jc w:val="left"/>
            </w:pPr>
            <w:r>
              <w:rPr>
                <w:rFonts w:ascii="Calibri" w:hAnsi="Calibri"/>
                <w:b w:val="0"/>
                <w:i w:val="0"/>
                <w:sz w:val="20"/>
              </w:rPr>
              <w:t>South West</w:t>
            </w:r>
          </w:p>
        </w:tc>
        <w:tc>
          <w:tcPr>
            <w:tcW w:type="dxa" w:w="2340"/>
            <w:shd w:fill="D9EAD3" w:color="auto" w:val="clear"/>
          </w:tcPr>
          <w:p>
            <w:pPr>
              <w:jc w:val="left"/>
            </w:pPr>
            <w:r>
              <w:rPr>
                <w:rFonts w:ascii="Calibri" w:hAnsi="Calibri"/>
                <w:b w:val="0"/>
                <w:i w:val="0"/>
                <w:sz w:val="20"/>
              </w:rPr>
              <w:t>Osun</w:t>
            </w:r>
          </w:p>
        </w:tc>
        <w:tc>
          <w:tcPr>
            <w:tcW w:type="dxa" w:w="2340"/>
            <w:shd w:fill="D9EAD3" w:color="auto" w:val="clear"/>
          </w:tcPr>
          <w:p>
            <w:pPr>
              <w:jc w:val="center"/>
            </w:pPr>
            <w:r>
              <w:rPr>
                <w:rFonts w:ascii="Calibri" w:hAnsi="Calibri"/>
                <w:b w:val="0"/>
                <w:i w:val="0"/>
                <w:sz w:val="20"/>
              </w:rPr>
              <w:t>18</w:t>
            </w:r>
          </w:p>
        </w:tc>
        <w:tc>
          <w:tcPr>
            <w:tcW w:type="dxa" w:w="2340"/>
            <w:shd w:fill="D9EAD3" w:color="auto" w:val="clear"/>
          </w:tcPr>
          <w:p>
            <w:pPr>
              <w:jc w:val="center"/>
            </w:pPr>
            <w:r>
              <w:rPr>
                <w:rFonts w:ascii="Calibri" w:hAnsi="Calibri"/>
                <w:b w:val="0"/>
                <w:i w:val="0"/>
                <w:sz w:val="20"/>
              </w:rPr>
              <w:t>155</w:t>
            </w:r>
          </w:p>
        </w:tc>
      </w:tr>
      <w:tr>
        <w:tc>
          <w:tcPr>
            <w:tcW w:type="dxa" w:w="2340"/>
            <w:shd w:fill="D9EAD3" w:color="auto" w:val="clear"/>
          </w:tcPr>
          <w:p>
            <w:pPr>
              <w:jc w:val="left"/>
            </w:pPr>
            <w:r>
              <w:rPr>
                <w:rFonts w:ascii="Calibri" w:hAnsi="Calibri"/>
                <w:b w:val="0"/>
                <w:i w:val="0"/>
                <w:sz w:val="20"/>
              </w:rPr>
              <w:t>South West</w:t>
            </w:r>
          </w:p>
        </w:tc>
        <w:tc>
          <w:tcPr>
            <w:tcW w:type="dxa" w:w="2340"/>
            <w:shd w:fill="D9EAD3" w:color="auto" w:val="clear"/>
          </w:tcPr>
          <w:p>
            <w:pPr>
              <w:jc w:val="left"/>
            </w:pPr>
            <w:r>
              <w:rPr>
                <w:rFonts w:ascii="Calibri" w:hAnsi="Calibri"/>
                <w:b w:val="0"/>
                <w:i w:val="0"/>
                <w:sz w:val="20"/>
              </w:rPr>
              <w:t>Oyo</w:t>
            </w:r>
          </w:p>
        </w:tc>
        <w:tc>
          <w:tcPr>
            <w:tcW w:type="dxa" w:w="2340"/>
            <w:shd w:fill="D9EAD3" w:color="auto" w:val="clear"/>
          </w:tcPr>
          <w:p>
            <w:pPr>
              <w:jc w:val="center"/>
            </w:pPr>
            <w:r>
              <w:rPr>
                <w:rFonts w:ascii="Calibri" w:hAnsi="Calibri"/>
                <w:b w:val="0"/>
                <w:i w:val="0"/>
                <w:sz w:val="20"/>
              </w:rPr>
              <w:t>23</w:t>
            </w:r>
          </w:p>
        </w:tc>
        <w:tc>
          <w:tcPr>
            <w:tcW w:type="dxa" w:w="2340"/>
            <w:shd w:fill="D9EAD3" w:color="auto" w:val="clear"/>
          </w:tcPr>
          <w:p>
            <w:pPr>
              <w:jc w:val="center"/>
            </w:pPr>
            <w:r>
              <w:rPr>
                <w:rFonts w:ascii="Calibri" w:hAnsi="Calibri"/>
                <w:b w:val="0"/>
                <w:i w:val="0"/>
                <w:sz w:val="20"/>
              </w:rPr>
              <w:t>183</w:t>
            </w:r>
          </w:p>
        </w:tc>
      </w:tr>
      <w:tr>
        <w:tc>
          <w:tcPr>
            <w:tcW w:type="dxa" w:w="2340"/>
            <w:shd w:fill="BDD7EE" w:color="auto" w:val="clear"/>
          </w:tcPr>
          <w:p>
            <w:pPr>
              <w:jc w:val="left"/>
            </w:pPr>
            <w:r>
              <w:rPr>
                <w:rFonts w:ascii="Calibri" w:hAnsi="Calibri"/>
                <w:b/>
                <w:i w:val="0"/>
                <w:sz w:val="20"/>
              </w:rPr>
              <w:t>TOTAL</w:t>
            </w:r>
          </w:p>
        </w:tc>
        <w:tc>
          <w:tcPr>
            <w:tcW w:type="dxa" w:w="2340"/>
            <w:shd w:fill="BDD7EE" w:color="auto" w:val="clear"/>
          </w:tcPr>
          <w:p>
            <w:pPr>
              <w:jc w:val="left"/>
            </w:pPr>
            <w:r>
              <w:rPr>
                <w:rFonts w:ascii="Calibri" w:hAnsi="Calibri"/>
                <w:b/>
                <w:i w:val="0"/>
                <w:sz w:val="20"/>
              </w:rPr>
              <w:t>37 States incl. FCT</w:t>
            </w:r>
          </w:p>
        </w:tc>
        <w:tc>
          <w:tcPr>
            <w:tcW w:type="dxa" w:w="2340"/>
            <w:shd w:fill="BDD7EE" w:color="auto" w:val="clear"/>
          </w:tcPr>
          <w:p>
            <w:pPr>
              <w:jc w:val="center"/>
            </w:pPr>
            <w:r>
              <w:rPr>
                <w:rFonts w:ascii="Calibri" w:hAnsi="Calibri"/>
                <w:b/>
                <w:i w:val="0"/>
                <w:sz w:val="20"/>
              </w:rPr>
              <w:t>486</w:t>
            </w:r>
          </w:p>
        </w:tc>
        <w:tc>
          <w:tcPr>
            <w:tcW w:type="dxa" w:w="2340"/>
            <w:shd w:fill="BDD7EE" w:color="auto" w:val="clear"/>
          </w:tcPr>
          <w:p>
            <w:pPr>
              <w:jc w:val="center"/>
            </w:pPr>
            <w:r>
              <w:rPr>
                <w:rFonts w:ascii="Calibri" w:hAnsi="Calibri"/>
                <w:b/>
                <w:i w:val="0"/>
                <w:sz w:val="20"/>
              </w:rPr>
              <w:t>4,581</w:t>
            </w:r>
          </w:p>
        </w:tc>
      </w:tr>
    </w:tbl>
    <w:p/>
    <w:p>
      <w:pPr>
        <w:spacing w:before="120" w:after="80"/>
      </w:pPr>
      <w:r>
        <w:rPr>
          <w:rFonts w:ascii="Calibri" w:hAnsi="Calibri"/>
          <w:b/>
          <w:i w:val="0"/>
          <w:color w:val="1F497D"/>
          <w:sz w:val="26"/>
        </w:rPr>
        <w:t>5. How the Data Was Collected</w:t>
      </w:r>
    </w:p>
    <w:p>
      <w:pPr>
        <w:spacing w:before="120" w:after="80"/>
      </w:pPr>
      <w:r>
        <w:rPr>
          <w:rFonts w:ascii="Calibri" w:hAnsi="Calibri"/>
          <w:b/>
          <w:i w:val="0"/>
          <w:color w:val="4472C4"/>
          <w:sz w:val="24"/>
        </w:rPr>
        <w:t>5.1  Sample Design</w:t>
      </w:r>
    </w:p>
    <w:p>
      <w:pPr>
        <w:spacing w:before="40" w:after="80"/>
      </w:pPr>
      <w:r>
        <w:rPr>
          <w:rFonts w:ascii="Calibri" w:hAnsi="Calibri"/>
          <w:b w:val="0"/>
          <w:i w:val="0"/>
          <w:sz w:val="22"/>
        </w:rPr>
        <w:t>A multi-stage stratified sample design was applied. In the first stage, PSUs (Enumeration Areas) were selected with probability proportional to size (PPS) from the 2006 Population and Housing Census frame. In the second stage, 10 households per EA were selected using systematic random sampling. The panel sub-sample of 500 EAs (5,000 households) was drawn from the broader 2,220-EA GHS sample, ensuring representation of urban and rural strata in each geopolitical zone.</w:t>
      </w:r>
    </w:p>
    <w:p>
      <w:pPr>
        <w:spacing w:before="120" w:after="80"/>
      </w:pPr>
      <w:r>
        <w:rPr>
          <w:rFonts w:ascii="Calibri" w:hAnsi="Calibri"/>
          <w:b/>
          <w:i w:val="0"/>
          <w:color w:val="4472C4"/>
          <w:sz w:val="24"/>
        </w:rPr>
        <w:t>5.2  Questionnaire Instruments</w:t>
      </w:r>
    </w:p>
    <w:p>
      <w:pPr>
        <w:spacing w:before="40" w:after="80"/>
      </w:pPr>
      <w:r>
        <w:rPr>
          <w:rFonts w:ascii="Calibri" w:hAnsi="Calibri"/>
          <w:b w:val="0"/>
          <w:i w:val="0"/>
          <w:sz w:val="22"/>
        </w:rPr>
        <w:t>Three questionnaires were administered during each of the two visits:</w:t>
      </w:r>
    </w:p>
    <w:p>
      <w:pPr>
        <w:pStyle w:val="ListBullet"/>
        <w:spacing w:before="20" w:after="20"/>
      </w:pPr>
      <w:r>
        <w:rPr>
          <w:rFonts w:ascii="Calibri" w:hAnsi="Calibri"/>
          <w:b w:val="0"/>
          <w:i w:val="0"/>
          <w:sz w:val="22"/>
        </w:rPr>
        <w:t>Household Questionnaire – demographics; education; health; labour; food and non-food expenditure; housing conditions; assets; ICT access; energy sources; and other household income. Housing conditions include specific questions on electricity access, weekly hours of electricity supply, source of electricity (PHCN grid, generator, solar, etc.), frequency of blackouts, and reasons for lack of access.</w:t>
      </w:r>
    </w:p>
    <w:p>
      <w:pPr>
        <w:pStyle w:val="ListBullet"/>
        <w:spacing w:before="20" w:after="20"/>
      </w:pPr>
      <w:r>
        <w:rPr>
          <w:rFonts w:ascii="Calibri" w:hAnsi="Calibri"/>
          <w:b w:val="0"/>
          <w:i w:val="0"/>
          <w:sz w:val="22"/>
        </w:rPr>
        <w:t>Agriculture Questionnaire – land ownership and use; farm labour; inputs; GPS plot coordinates; crop harvest and utilisation; livestock; and fishing activities.</w:t>
      </w:r>
    </w:p>
    <w:p>
      <w:pPr>
        <w:pStyle w:val="ListBullet"/>
        <w:spacing w:before="20" w:after="20"/>
      </w:pPr>
      <w:r>
        <w:rPr>
          <w:rFonts w:ascii="Calibri" w:hAnsi="Calibri"/>
          <w:b w:val="0"/>
          <w:i w:val="0"/>
          <w:sz w:val="22"/>
        </w:rPr>
        <w:t>Community Questionnaire – access to infrastructure; community organisations; resource management; local retail prices; and community needs and achievements.</w:t>
      </w:r>
    </w:p>
    <w:p>
      <w:pPr>
        <w:spacing w:before="120" w:after="80"/>
      </w:pPr>
      <w:r>
        <w:rPr>
          <w:rFonts w:ascii="Calibri" w:hAnsi="Calibri"/>
          <w:b/>
          <w:i w:val="0"/>
          <w:color w:val="4472C4"/>
          <w:sz w:val="24"/>
        </w:rPr>
        <w:t>5.3  Field Operations and Data Entry</w:t>
      </w:r>
    </w:p>
    <w:p>
      <w:pPr>
        <w:spacing w:before="40" w:after="80"/>
      </w:pPr>
      <w:r>
        <w:rPr>
          <w:rFonts w:ascii="Calibri" w:hAnsi="Calibri"/>
          <w:b w:val="0"/>
          <w:i w:val="0"/>
          <w:sz w:val="22"/>
        </w:rPr>
        <w:t>Data collection teams consisted of a supervisor, 2–4 interviewers, and a data entry operator. Team sizes varied by state according to EA count. Teams used a roving approach, spending 20–30 days in each state per visit. A concurrent data entry approach was used: questionnaires were handed to supervisors for quality checks each day, then entered by the data entry operator using CSPro software. Error reports flagging out-of-range values and inconsistencies were reviewed daily, with field revisits conducted where necessary.</w:t>
      </w:r>
    </w:p>
    <w:p>
      <w:pPr>
        <w:spacing w:before="120" w:after="80"/>
      </w:pPr>
      <w:r>
        <w:rPr>
          <w:rFonts w:ascii="Calibri" w:hAnsi="Calibri"/>
          <w:b/>
          <w:i w:val="0"/>
          <w:color w:val="4472C4"/>
          <w:sz w:val="24"/>
        </w:rPr>
        <w:t>5.4  Household Tracking</w:t>
      </w:r>
    </w:p>
    <w:p>
      <w:pPr>
        <w:spacing w:before="40" w:after="80"/>
      </w:pPr>
      <w:r>
        <w:rPr>
          <w:rFonts w:ascii="Calibri" w:hAnsi="Calibri"/>
          <w:b w:val="0"/>
          <w:i w:val="0"/>
          <w:sz w:val="22"/>
        </w:rPr>
        <w:t>Given the panel nature of the survey, a tracking exercise was conducted for households that had relocated since the previous wave or between the two visits of Wave 3. Trackers were required to complete a tracking form and administer the standard questionnaire to relocated households. In Wave 3, 171 households had moved between Wave 2 and the post-planting visit, and a further 41 moved between the two Wave 3 visits.</w:t>
      </w:r>
    </w:p>
    <w:p>
      <w:pPr>
        <w:spacing w:before="120" w:after="80"/>
      </w:pPr>
      <w:r>
        <w:rPr>
          <w:rFonts w:ascii="Calibri" w:hAnsi="Calibri"/>
          <w:b/>
          <w:i w:val="0"/>
          <w:color w:val="1F497D"/>
          <w:sz w:val="26"/>
        </w:rPr>
        <w:t>6. Key Variables Relevant to Electricity Access</w:t>
      </w:r>
    </w:p>
    <w:p>
      <w:pPr>
        <w:spacing w:before="40" w:after="80"/>
      </w:pPr>
      <w:r>
        <w:rPr>
          <w:rFonts w:ascii="Calibri" w:hAnsi="Calibri"/>
          <w:b w:val="0"/>
          <w:i w:val="0"/>
          <w:sz w:val="22"/>
        </w:rPr>
        <w:t>The GHS-Panel Household Questionnaire (Section 11 of the post-planting instrument) captures the following electricity-related variables directly applicable to energy access analysis: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97D" w:color="auto" w:val="clear"/>
          </w:tcPr>
          <w:p>
            <w:pPr>
              <w:jc w:val="center"/>
            </w:pPr>
            <w:r>
              <w:rPr>
                <w:rFonts w:ascii="Calibri" w:hAnsi="Calibri"/>
                <w:b/>
                <w:i w:val="0"/>
                <w:color w:val="FFFFFF"/>
                <w:sz w:val="20"/>
              </w:rPr>
              <w:t>Variable Code</w:t>
            </w:r>
          </w:p>
        </w:tc>
        <w:tc>
          <w:tcPr>
            <w:tcW w:type="dxa" w:w="3120"/>
            <w:shd w:fill="1F497D" w:color="auto" w:val="clear"/>
          </w:tcPr>
          <w:p>
            <w:pPr>
              <w:jc w:val="center"/>
            </w:pPr>
            <w:r>
              <w:rPr>
                <w:rFonts w:ascii="Calibri" w:hAnsi="Calibri"/>
                <w:b/>
                <w:i w:val="0"/>
                <w:color w:val="FFFFFF"/>
                <w:sz w:val="20"/>
              </w:rPr>
              <w:t>Description</w:t>
            </w:r>
          </w:p>
        </w:tc>
        <w:tc>
          <w:tcPr>
            <w:tcW w:type="dxa" w:w="3120"/>
            <w:shd w:fill="1F497D" w:color="auto" w:val="clear"/>
          </w:tcPr>
          <w:p>
            <w:pPr>
              <w:jc w:val="center"/>
            </w:pPr>
            <w:r>
              <w:rPr>
                <w:rFonts w:ascii="Calibri" w:hAnsi="Calibri"/>
                <w:b/>
                <w:i w:val="0"/>
                <w:color w:val="FFFFFF"/>
                <w:sz w:val="20"/>
              </w:rPr>
              <w:t>Response Format</w:t>
            </w:r>
          </w:p>
        </w:tc>
      </w:tr>
      <w:tr>
        <w:tc>
          <w:tcPr>
            <w:tcW w:type="dxa" w:w="3120"/>
            <w:shd w:fill="EBF3FB" w:color="auto" w:val="clear"/>
          </w:tcPr>
          <w:p>
            <w:r>
              <w:rPr>
                <w:rFonts w:ascii="Calibri" w:hAnsi="Calibri"/>
                <w:b w:val="0"/>
                <w:i w:val="0"/>
                <w:sz w:val="20"/>
              </w:rPr>
              <w:t>S11q20 / equivalent</w:t>
            </w:r>
          </w:p>
        </w:tc>
        <w:tc>
          <w:tcPr>
            <w:tcW w:type="dxa" w:w="3120"/>
            <w:shd w:fill="EBF3FB" w:color="auto" w:val="clear"/>
          </w:tcPr>
          <w:p>
            <w:r>
              <w:rPr>
                <w:rFonts w:ascii="Calibri" w:hAnsi="Calibri"/>
                <w:b w:val="0"/>
                <w:i w:val="0"/>
                <w:sz w:val="20"/>
              </w:rPr>
              <w:t>Does the household have electricity from the public/national grid?</w:t>
            </w:r>
          </w:p>
        </w:tc>
        <w:tc>
          <w:tcPr>
            <w:tcW w:type="dxa" w:w="3120"/>
            <w:shd w:fill="EBF3FB" w:color="auto" w:val="clear"/>
          </w:tcPr>
          <w:p>
            <w:r>
              <w:rPr>
                <w:rFonts w:ascii="Calibri" w:hAnsi="Calibri"/>
                <w:b w:val="0"/>
                <w:i w:val="0"/>
                <w:sz w:val="20"/>
              </w:rPr>
              <w:t>Yes/No</w:t>
            </w:r>
          </w:p>
        </w:tc>
      </w:tr>
      <w:tr>
        <w:tc>
          <w:tcPr>
            <w:tcW w:type="dxa" w:w="3120"/>
            <w:shd w:fill="FFFFFF" w:color="auto" w:val="clear"/>
          </w:tcPr>
          <w:p>
            <w:r>
              <w:rPr>
                <w:rFonts w:ascii="Calibri" w:hAnsi="Calibri"/>
                <w:b w:val="0"/>
                <w:i w:val="0"/>
                <w:sz w:val="20"/>
              </w:rPr>
              <w:t>S11q21</w:t>
            </w:r>
          </w:p>
        </w:tc>
        <w:tc>
          <w:tcPr>
            <w:tcW w:type="dxa" w:w="3120"/>
            <w:shd w:fill="FFFFFF" w:color="auto" w:val="clear"/>
          </w:tcPr>
          <w:p>
            <w:r>
              <w:rPr>
                <w:rFonts w:ascii="Calibri" w:hAnsi="Calibri"/>
                <w:b w:val="0"/>
                <w:i w:val="0"/>
                <w:sz w:val="20"/>
              </w:rPr>
              <w:t>Average weekly hours of electricity supplied from the main public system</w:t>
            </w:r>
          </w:p>
        </w:tc>
        <w:tc>
          <w:tcPr>
            <w:tcW w:type="dxa" w:w="3120"/>
            <w:shd w:fill="FFFFFF" w:color="auto" w:val="clear"/>
          </w:tcPr>
          <w:p>
            <w:r>
              <w:rPr>
                <w:rFonts w:ascii="Calibri" w:hAnsi="Calibri"/>
                <w:b w:val="0"/>
                <w:i w:val="0"/>
                <w:sz w:val="20"/>
              </w:rPr>
              <w:t>Hours per week (continuous)</w:t>
            </w:r>
          </w:p>
        </w:tc>
      </w:tr>
      <w:tr>
        <w:tc>
          <w:tcPr>
            <w:tcW w:type="dxa" w:w="3120"/>
            <w:shd w:fill="EBF3FB" w:color="auto" w:val="clear"/>
          </w:tcPr>
          <w:p>
            <w:r>
              <w:rPr>
                <w:rFonts w:ascii="Calibri" w:hAnsi="Calibri"/>
                <w:b w:val="0"/>
                <w:i w:val="0"/>
                <w:sz w:val="20"/>
              </w:rPr>
              <w:t>S11q22</w:t>
            </w:r>
          </w:p>
        </w:tc>
        <w:tc>
          <w:tcPr>
            <w:tcW w:type="dxa" w:w="3120"/>
            <w:shd w:fill="EBF3FB" w:color="auto" w:val="clear"/>
          </w:tcPr>
          <w:p>
            <w:r>
              <w:rPr>
                <w:rFonts w:ascii="Calibri" w:hAnsi="Calibri"/>
                <w:b w:val="0"/>
                <w:i w:val="0"/>
                <w:sz w:val="20"/>
              </w:rPr>
              <w:t>Annual expenditure on electricity (₦)</w:t>
            </w:r>
          </w:p>
        </w:tc>
        <w:tc>
          <w:tcPr>
            <w:tcW w:type="dxa" w:w="3120"/>
            <w:shd w:fill="EBF3FB" w:color="auto" w:val="clear"/>
          </w:tcPr>
          <w:p>
            <w:r>
              <w:rPr>
                <w:rFonts w:ascii="Calibri" w:hAnsi="Calibri"/>
                <w:b w:val="0"/>
                <w:i w:val="0"/>
                <w:sz w:val="20"/>
              </w:rPr>
              <w:t>Naira (continuous)</w:t>
            </w:r>
          </w:p>
        </w:tc>
      </w:tr>
      <w:tr>
        <w:tc>
          <w:tcPr>
            <w:tcW w:type="dxa" w:w="3120"/>
            <w:shd w:fill="FFFFFF" w:color="auto" w:val="clear"/>
          </w:tcPr>
          <w:p>
            <w:r>
              <w:rPr>
                <w:rFonts w:ascii="Calibri" w:hAnsi="Calibri"/>
                <w:b w:val="0"/>
                <w:i w:val="0"/>
                <w:sz w:val="20"/>
              </w:rPr>
              <w:t>S11q23</w:t>
            </w:r>
          </w:p>
        </w:tc>
        <w:tc>
          <w:tcPr>
            <w:tcW w:type="dxa" w:w="3120"/>
            <w:shd w:fill="FFFFFF" w:color="auto" w:val="clear"/>
          </w:tcPr>
          <w:p>
            <w:r>
              <w:rPr>
                <w:rFonts w:ascii="Calibri" w:hAnsi="Calibri"/>
                <w:b w:val="0"/>
                <w:i w:val="0"/>
                <w:sz w:val="20"/>
              </w:rPr>
              <w:t>Frequency of blackouts in the area</w:t>
            </w:r>
          </w:p>
        </w:tc>
        <w:tc>
          <w:tcPr>
            <w:tcW w:type="dxa" w:w="3120"/>
            <w:shd w:fill="FFFFFF" w:color="auto" w:val="clear"/>
          </w:tcPr>
          <w:p>
            <w:r>
              <w:rPr>
                <w:rFonts w:ascii="Calibri" w:hAnsi="Calibri"/>
                <w:b w:val="0"/>
                <w:i w:val="0"/>
                <w:sz w:val="20"/>
              </w:rPr>
              <w:t>Categorical (e.g., never, sometimes, often, always)</w:t>
            </w:r>
          </w:p>
        </w:tc>
      </w:tr>
      <w:tr>
        <w:tc>
          <w:tcPr>
            <w:tcW w:type="dxa" w:w="3120"/>
            <w:shd w:fill="EBF3FB" w:color="auto" w:val="clear"/>
          </w:tcPr>
          <w:p>
            <w:r>
              <w:rPr>
                <w:rFonts w:ascii="Calibri" w:hAnsi="Calibri"/>
                <w:b w:val="0"/>
                <w:i w:val="0"/>
                <w:sz w:val="20"/>
              </w:rPr>
              <w:t>S11q24</w:t>
            </w:r>
          </w:p>
        </w:tc>
        <w:tc>
          <w:tcPr>
            <w:tcW w:type="dxa" w:w="3120"/>
            <w:shd w:fill="EBF3FB" w:color="auto" w:val="clear"/>
          </w:tcPr>
          <w:p>
            <w:r>
              <w:rPr>
                <w:rFonts w:ascii="Calibri" w:hAnsi="Calibri"/>
                <w:b w:val="0"/>
                <w:i w:val="0"/>
                <w:sz w:val="20"/>
              </w:rPr>
              <w:t>Source of electricity used by the household</w:t>
            </w:r>
          </w:p>
        </w:tc>
        <w:tc>
          <w:tcPr>
            <w:tcW w:type="dxa" w:w="3120"/>
            <w:shd w:fill="EBF3FB" w:color="auto" w:val="clear"/>
          </w:tcPr>
          <w:p>
            <w:r>
              <w:rPr>
                <w:rFonts w:ascii="Calibri" w:hAnsi="Calibri"/>
                <w:b w:val="0"/>
                <w:i w:val="0"/>
                <w:sz w:val="20"/>
              </w:rPr>
              <w:t>PHCN/NEPA grid; Rural Electrification; Generator; Solar; Other</w:t>
            </w:r>
          </w:p>
        </w:tc>
      </w:tr>
      <w:tr>
        <w:tc>
          <w:tcPr>
            <w:tcW w:type="dxa" w:w="3120"/>
            <w:shd w:fill="FFFFFF" w:color="auto" w:val="clear"/>
          </w:tcPr>
          <w:p>
            <w:r>
              <w:rPr>
                <w:rFonts w:ascii="Calibri" w:hAnsi="Calibri"/>
                <w:b w:val="0"/>
                <w:i w:val="0"/>
                <w:sz w:val="20"/>
              </w:rPr>
              <w:t>S11q26</w:t>
            </w:r>
          </w:p>
        </w:tc>
        <w:tc>
          <w:tcPr>
            <w:tcW w:type="dxa" w:w="3120"/>
            <w:shd w:fill="FFFFFF" w:color="auto" w:val="clear"/>
          </w:tcPr>
          <w:p>
            <w:r>
              <w:rPr>
                <w:rFonts w:ascii="Calibri" w:hAnsi="Calibri"/>
                <w:b w:val="0"/>
                <w:i w:val="0"/>
                <w:sz w:val="20"/>
              </w:rPr>
              <w:t>Does the village/neighbourhood have access to electricity even if the dwelling does not?</w:t>
            </w:r>
          </w:p>
        </w:tc>
        <w:tc>
          <w:tcPr>
            <w:tcW w:type="dxa" w:w="3120"/>
            <w:shd w:fill="FFFFFF" w:color="auto" w:val="clear"/>
          </w:tcPr>
          <w:p>
            <w:r>
              <w:rPr>
                <w:rFonts w:ascii="Calibri" w:hAnsi="Calibri"/>
                <w:b w:val="0"/>
                <w:i w:val="0"/>
                <w:sz w:val="20"/>
              </w:rPr>
              <w:t>Yes/No</w:t>
            </w:r>
          </w:p>
        </w:tc>
      </w:tr>
      <w:tr>
        <w:tc>
          <w:tcPr>
            <w:tcW w:type="dxa" w:w="3120"/>
            <w:shd w:fill="EBF3FB" w:color="auto" w:val="clear"/>
          </w:tcPr>
          <w:p>
            <w:r>
              <w:rPr>
                <w:rFonts w:ascii="Calibri" w:hAnsi="Calibri"/>
                <w:b w:val="0"/>
                <w:i w:val="0"/>
                <w:sz w:val="20"/>
              </w:rPr>
              <w:t>S11q27a / S11q27b</w:t>
            </w:r>
          </w:p>
        </w:tc>
        <w:tc>
          <w:tcPr>
            <w:tcW w:type="dxa" w:w="3120"/>
            <w:shd w:fill="EBF3FB" w:color="auto" w:val="clear"/>
          </w:tcPr>
          <w:p>
            <w:r>
              <w:rPr>
                <w:rFonts w:ascii="Calibri" w:hAnsi="Calibri"/>
                <w:b w:val="0"/>
                <w:i w:val="0"/>
                <w:sz w:val="20"/>
              </w:rPr>
              <w:t>Reasons for not having access to public electricity (up to 2 reasons)</w:t>
            </w:r>
          </w:p>
        </w:tc>
        <w:tc>
          <w:tcPr>
            <w:tcW w:type="dxa" w:w="3120"/>
            <w:shd w:fill="EBF3FB" w:color="auto" w:val="clear"/>
          </w:tcPr>
          <w:p>
            <w:r>
              <w:rPr>
                <w:rFonts w:ascii="Calibri" w:hAnsi="Calibri"/>
                <w:b w:val="0"/>
                <w:i w:val="0"/>
                <w:sz w:val="20"/>
              </w:rPr>
              <w:t>Categorical (e.g., not available, cost, waiting for connection)</w:t>
            </w:r>
          </w:p>
        </w:tc>
      </w:tr>
      <w:tr>
        <w:tc>
          <w:tcPr>
            <w:tcW w:type="dxa" w:w="3120"/>
            <w:shd w:fill="FFFFFF" w:color="auto" w:val="clear"/>
          </w:tcPr>
          <w:p>
            <w:r>
              <w:rPr>
                <w:rFonts w:ascii="Calibri" w:hAnsi="Calibri"/>
                <w:b w:val="0"/>
                <w:i w:val="0"/>
                <w:sz w:val="20"/>
              </w:rPr>
              <w:t>S11q28b</w:t>
            </w:r>
          </w:p>
        </w:tc>
        <w:tc>
          <w:tcPr>
            <w:tcW w:type="dxa" w:w="3120"/>
            <w:shd w:fill="FFFFFF" w:color="auto" w:val="clear"/>
          </w:tcPr>
          <w:p>
            <w:r>
              <w:rPr>
                <w:rFonts w:ascii="Calibri" w:hAnsi="Calibri"/>
                <w:b w:val="0"/>
                <w:i w:val="0"/>
                <w:sz w:val="20"/>
              </w:rPr>
              <w:t>Does the household own a generator?</w:t>
            </w:r>
          </w:p>
        </w:tc>
        <w:tc>
          <w:tcPr>
            <w:tcW w:type="dxa" w:w="3120"/>
            <w:shd w:fill="FFFFFF" w:color="auto" w:val="clear"/>
          </w:tcPr>
          <w:p>
            <w:r>
              <w:rPr>
                <w:rFonts w:ascii="Calibri" w:hAnsi="Calibri"/>
                <w:b w:val="0"/>
                <w:i w:val="0"/>
                <w:sz w:val="20"/>
              </w:rPr>
              <w:t>Yes/No</w:t>
            </w:r>
          </w:p>
        </w:tc>
      </w:tr>
      <w:tr>
        <w:tc>
          <w:tcPr>
            <w:tcW w:type="dxa" w:w="3120"/>
            <w:shd w:fill="EBF3FB" w:color="auto" w:val="clear"/>
          </w:tcPr>
          <w:p>
            <w:r>
              <w:rPr>
                <w:rFonts w:ascii="Calibri" w:hAnsi="Calibri"/>
                <w:b w:val="0"/>
                <w:i w:val="0"/>
                <w:sz w:val="20"/>
              </w:rPr>
              <w:t>S11q28c</w:t>
            </w:r>
          </w:p>
        </w:tc>
        <w:tc>
          <w:tcPr>
            <w:tcW w:type="dxa" w:w="3120"/>
            <w:shd w:fill="EBF3FB" w:color="auto" w:val="clear"/>
          </w:tcPr>
          <w:p>
            <w:r>
              <w:rPr>
                <w:rFonts w:ascii="Calibri" w:hAnsi="Calibri"/>
                <w:b w:val="0"/>
                <w:i w:val="0"/>
                <w:sz w:val="20"/>
              </w:rPr>
              <w:t>Year the generator was purchased</w:t>
            </w:r>
          </w:p>
        </w:tc>
        <w:tc>
          <w:tcPr>
            <w:tcW w:type="dxa" w:w="3120"/>
            <w:shd w:fill="EBF3FB" w:color="auto" w:val="clear"/>
          </w:tcPr>
          <w:p>
            <w:r>
              <w:rPr>
                <w:rFonts w:ascii="Calibri" w:hAnsi="Calibri"/>
                <w:b w:val="0"/>
                <w:i w:val="0"/>
                <w:sz w:val="20"/>
              </w:rPr>
              <w:t>Year (integer)</w:t>
            </w:r>
          </w:p>
        </w:tc>
      </w:tr>
      <w:tr>
        <w:tc>
          <w:tcPr>
            <w:tcW w:type="dxa" w:w="3120"/>
            <w:shd w:fill="FFFFFF" w:color="auto" w:val="clear"/>
          </w:tcPr>
          <w:p>
            <w:r>
              <w:rPr>
                <w:rFonts w:ascii="Calibri" w:hAnsi="Calibri"/>
                <w:b w:val="0"/>
                <w:i w:val="0"/>
                <w:sz w:val="20"/>
              </w:rPr>
              <w:t>S11q28e1/e2</w:t>
            </w:r>
          </w:p>
        </w:tc>
        <w:tc>
          <w:tcPr>
            <w:tcW w:type="dxa" w:w="3120"/>
            <w:shd w:fill="FFFFFF" w:color="auto" w:val="clear"/>
          </w:tcPr>
          <w:p>
            <w:r>
              <w:rPr>
                <w:rFonts w:ascii="Calibri" w:hAnsi="Calibri"/>
                <w:b w:val="0"/>
                <w:i w:val="0"/>
                <w:sz w:val="20"/>
              </w:rPr>
              <w:t>Capacity of the generator</w:t>
            </w:r>
          </w:p>
        </w:tc>
        <w:tc>
          <w:tcPr>
            <w:tcW w:type="dxa" w:w="3120"/>
            <w:shd w:fill="FFFFFF" w:color="auto" w:val="clear"/>
          </w:tcPr>
          <w:p>
            <w:r>
              <w:rPr>
                <w:rFonts w:ascii="Calibri" w:hAnsi="Calibri"/>
                <w:b w:val="0"/>
                <w:i w:val="0"/>
                <w:sz w:val="20"/>
              </w:rPr>
              <w:t>Power value and unit</w:t>
            </w:r>
          </w:p>
        </w:tc>
      </w:tr>
    </w:tbl>
    <w:p/>
    <w:p>
      <w:pPr>
        <w:spacing w:before="120" w:after="80"/>
      </w:pPr>
      <w:r>
        <w:rPr>
          <w:rFonts w:ascii="Calibri" w:hAnsi="Calibri"/>
          <w:b/>
          <w:i w:val="0"/>
          <w:color w:val="1F497D"/>
          <w:sz w:val="26"/>
        </w:rPr>
        <w:t>7. Key National Findings on Electricity Access (Wave 3, 2015/16)</w:t>
      </w:r>
    </w:p>
    <w:p>
      <w:pPr>
        <w:spacing w:before="40" w:after="80"/>
      </w:pPr>
      <w:r>
        <w:rPr>
          <w:rFonts w:ascii="Calibri" w:hAnsi="Calibri"/>
          <w:b w:val="0"/>
          <w:i w:val="0"/>
          <w:sz w:val="22"/>
        </w:rPr>
        <w:t>The GHS-Panel Wave 3 report published by the NBS/World Bank (2016) provides the following headline electricity access statistics at the national level, as extracted and presented on the Open Data for Africa portal:</w:t>
      </w:r>
    </w:p>
    <w:p>
      <w:pPr>
        <w:pStyle w:val="ListBullet"/>
        <w:spacing w:before="20" w:after="20"/>
      </w:pPr>
      <w:r>
        <w:rPr>
          <w:rFonts w:ascii="Calibri" w:hAnsi="Calibri"/>
          <w:b w:val="0"/>
          <w:i w:val="0"/>
          <w:sz w:val="22"/>
        </w:rPr>
        <w:t>59.3% of households nationally had electricity in their dwelling.</w:t>
      </w:r>
    </w:p>
    <w:p>
      <w:pPr>
        <w:pStyle w:val="ListBullet"/>
        <w:spacing w:before="20" w:after="20"/>
      </w:pPr>
      <w:r>
        <w:rPr>
          <w:rFonts w:ascii="Calibri" w:hAnsi="Calibri"/>
          <w:b w:val="0"/>
          <w:i w:val="0"/>
          <w:sz w:val="22"/>
        </w:rPr>
        <w:t>Average of 35.8 hours of electricity per week per connected household.</w:t>
      </w:r>
    </w:p>
    <w:p>
      <w:pPr>
        <w:pStyle w:val="ListBullet"/>
        <w:spacing w:before="20" w:after="20"/>
      </w:pPr>
      <w:r>
        <w:rPr>
          <w:rFonts w:ascii="Calibri" w:hAnsi="Calibri"/>
          <w:b w:val="0"/>
          <w:i w:val="0"/>
          <w:sz w:val="22"/>
        </w:rPr>
        <w:t>Urban households with electricity access: 86.0%.</w:t>
      </w:r>
    </w:p>
    <w:p>
      <w:pPr>
        <w:pStyle w:val="ListBullet"/>
        <w:spacing w:before="20" w:after="20"/>
      </w:pPr>
      <w:r>
        <w:rPr>
          <w:rFonts w:ascii="Calibri" w:hAnsi="Calibri"/>
          <w:b w:val="0"/>
          <w:i w:val="0"/>
          <w:sz w:val="22"/>
        </w:rPr>
        <w:t>Rural households with electricity access: 41.1%.</w:t>
      </w:r>
    </w:p>
    <w:p>
      <w:pPr>
        <w:pStyle w:val="ListBullet"/>
        <w:spacing w:before="20" w:after="20"/>
      </w:pPr>
      <w:r>
        <w:rPr>
          <w:rFonts w:ascii="Calibri" w:hAnsi="Calibri"/>
          <w:b w:val="0"/>
          <w:i w:val="0"/>
          <w:sz w:val="22"/>
        </w:rPr>
        <w:t>Annual household electricity expenditure (national mean): ₦26,966.</w:t>
      </w:r>
    </w:p>
    <w:p>
      <w:pPr>
        <w:spacing w:before="40" w:after="80"/>
      </w:pPr>
      <w:r>
        <w:rPr>
          <w:rFonts w:ascii="Calibri" w:hAnsi="Calibri"/>
          <w:b w:val="0"/>
          <w:i w:val="0"/>
          <w:sz w:val="22"/>
        </w:rPr>
        <w:t>State-level disaggregations on the Open Data for Africa platform are derived from the same Wave 3 household-level microdata by aggregating the relevant survey variables to the state stratum using survey-weighted estimates. The sampling weights account for the probability of selection and adjust for non-response and attrition across waves.</w:t>
      </w:r>
    </w:p>
    <w:p>
      <w:pPr>
        <w:spacing w:before="120" w:after="80"/>
      </w:pPr>
      <w:r>
        <w:rPr>
          <w:rFonts w:ascii="Calibri" w:hAnsi="Calibri"/>
          <w:b/>
          <w:i w:val="0"/>
          <w:color w:val="1F497D"/>
          <w:sz w:val="26"/>
        </w:rPr>
        <w:t>8. Attrition and Data Limitations</w:t>
      </w:r>
    </w:p>
    <w:p>
      <w:pPr>
        <w:spacing w:before="40" w:after="80"/>
      </w:pPr>
      <w:r>
        <w:rPr>
          <w:rFonts w:ascii="Calibri" w:hAnsi="Calibri"/>
          <w:b w:val="0"/>
          <w:i w:val="0"/>
          <w:sz w:val="22"/>
        </w:rPr>
        <w:t>Overall sample attrition from Wave 1 to Wave 3 increased from approximately 5.7% (Wave 1 to Wave 2) to 8.4% (Wave 2 to Wave 3). The majority of additional attrition in Wave 3 resulted from security conditions in the North-East Zone: 14 enumeration areas in Borno and Yobe states could not be visited, leading to the exclusion of 139 households from those states. State-level estimates for Borno and Yobe in Wave 3 should therefore be interpreted with caution given reduced sample sizes.</w:t>
      </w:r>
    </w:p>
    <w:p>
      <w:pPr>
        <w:spacing w:before="40" w:after="80"/>
      </w:pPr>
      <w:r>
        <w:rPr>
          <w:rFonts w:ascii="Calibri" w:hAnsi="Calibri"/>
          <w:b w:val="0"/>
          <w:i w:val="0"/>
          <w:sz w:val="22"/>
        </w:rPr>
        <w:t>For all other states, sufficient panel households were tracked and interviewed to support reliable state-level weighted estimates. The dataset is not representative at the local government area (LGA) level and should not be disaggregated below the state or urban/rural stratum.</w:t>
      </w:r>
    </w:p>
    <w:p>
      <w:pPr>
        <w:spacing w:before="120" w:after="80"/>
      </w:pPr>
      <w:r>
        <w:rPr>
          <w:rFonts w:ascii="Calibri" w:hAnsi="Calibri"/>
          <w:b/>
          <w:i w:val="0"/>
          <w:color w:val="1F497D"/>
          <w:sz w:val="26"/>
        </w:rPr>
        <w:t>9. Recommended Citation</w:t>
      </w:r>
    </w:p>
    <w:p>
      <w:pPr>
        <w:spacing w:before="40" w:after="80"/>
        <w:ind w:left="432"/>
      </w:pPr>
      <w:r>
        <w:rPr>
          <w:rFonts w:ascii="Calibri" w:hAnsi="Calibri"/>
          <w:b w:val="0"/>
          <w:i/>
          <w:sz w:val="22"/>
        </w:rPr>
        <w:t>"This dataset presents state-level electricity access indicators for all 36 states of Nigeria and the FCT Abuja, derived from the Nigeria General Household Survey – Panel (GHS-Panel), Wave 3, conducted in 2015–2016. The survey was implemented by the National Bureau of Statistics (NBS) in collaboration with the World Bank LSMS team, the Federal Ministry of Agriculture and Rural Development (FMA&amp;RD), the National Food Reserve Agency (NFRA), and the Bill and Melinda Gates Foundation (BMGF). The data were accessed via the Open Data for Africa portal (https://nigeria.opendataforafrica.org/NGGHHSP2017/general-household-survey-panel-2015) and the World Bank Microdata Library (NGA_2015_GHSP-W3_v02_M). The indicators should be interpreted as survey-based, nationally representative estimates at the state level for the 2015/16 reference year, not as administrative census counts."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igeria.opendataforafrica.org/NGGHHSP2017/general-household-survey-panel-2015" TargetMode="External"/><Relationship Id="rId10" Type="http://schemas.openxmlformats.org/officeDocument/2006/relationships/hyperlink" Target="https://microdata.worldbank.org/index.php/catalog/2734" TargetMode="External"/><Relationship Id="rId11" Type="http://schemas.openxmlformats.org/officeDocument/2006/relationships/hyperlink" Target="https://microdata.nigerianstat.gov.ng/index.php/catalog/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