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w Cen MT" w:hAnsi="Tw Cen MT" w:eastAsia="Tw Cen MT"/>
          <w:b/>
          <w:color w:val="474A4F"/>
          <w:sz w:val="36"/>
        </w:rPr>
        <w:t>VALIDATION STATEMENT</w:t>
      </w:r>
    </w:p>
    <w:p>
      <w:pPr>
        <w:jc w:val="center"/>
      </w:pPr>
      <w:r>
        <w:rPr>
          <w:rFonts w:ascii="Tw Cen MT" w:hAnsi="Tw Cen MT" w:eastAsia="Tw Cen MT"/>
          <w:b/>
          <w:color w:val="474A4F"/>
          <w:sz w:val="24"/>
        </w:rPr>
        <w:t>Market Size and Investment Readiness Dataset - Nigeria, 36 States and FCT</w:t>
      </w:r>
    </w:p>
    <w:tbl>
      <w:tblPr>
        <w:tblW w:type="auto" w:w="0"/>
        <w:jc w:val="center"/>
        <w:tblLook w:firstColumn="1" w:firstRow="1" w:lastColumn="0" w:lastRow="0" w:noHBand="0" w:noVBand="1" w:val="04A0"/>
      </w:tblPr>
      <w:tblGrid>
        <w:gridCol w:w="10080"/>
      </w:tblGrid>
      <w:tr>
        <w:trPr>
          <w:trHeight w:val="120"/>
        </w:trPr>
        <w:tc>
          <w:tcPr>
            <w:tcW w:type="dxa" w:w="10080"/>
            <w:shd w:fill="FFD300"/>
          </w:tcPr>
          <w:p>
            <w:r>
              <w:rPr>
                <w:rFonts w:ascii="Tw Cen MT" w:hAnsi="Tw Cen MT" w:eastAsia="Tw Cen MT"/>
              </w:rPr>
            </w:r>
          </w:p>
        </w:tc>
      </w:tr>
    </w:tbl>
    <w:p/>
    <w:p>
      <w:pPr>
        <w:pStyle w:val="Heading1"/>
      </w:pPr>
      <w:r>
        <w:rPr>
          <w:rFonts w:ascii="Tw Cen MT" w:hAnsi="Tw Cen MT" w:eastAsia="Tw Cen MT"/>
          <w:color w:val="474A4F"/>
        </w:rPr>
        <w:t>1. Purpose of the Validation</w:t>
      </w:r>
    </w:p>
    <w:p>
      <w:pPr>
        <w:spacing w:line="360" w:lineRule="auto"/>
      </w:pPr>
      <w:r>
        <w:rPr>
          <w:rFonts w:ascii="Tw Cen MT" w:hAnsi="Tw Cen MT" w:eastAsia="Tw Cen MT"/>
        </w:rPr>
        <w:t>This statement validates how the Market Size and Investment Readiness scores were prepared for the 36 states in Nigeria and the FCT. The dataset is a planning index and not a single official government-published indicator. It was developed by combining publicly available economic, electricity-market, population, commercial, and renewable-energy readiness proxies into separate scores for market size and investment readiness.</w:t>
      </w:r>
    </w:p>
    <w:p>
      <w:pPr>
        <w:pStyle w:val="Heading1"/>
      </w:pPr>
      <w:r>
        <w:rPr>
          <w:rFonts w:ascii="Tw Cen MT" w:hAnsi="Tw Cen MT" w:eastAsia="Tw Cen MT"/>
          <w:color w:val="474A4F"/>
        </w:rPr>
        <w:t>2. Data Collection Process</w:t>
      </w:r>
    </w:p>
    <w:tbl>
      <w:tblPr>
        <w:tblStyle w:val="TableGrid"/>
        <w:tblW w:type="auto" w:w="0"/>
        <w:jc w:val="center"/>
        <w:tblLook w:firstColumn="1" w:firstRow="1" w:lastColumn="0" w:lastRow="0" w:noHBand="0" w:noVBand="1" w:val="04A0"/>
      </w:tblPr>
      <w:tblGrid>
        <w:gridCol w:w="5040"/>
        <w:gridCol w:w="5040"/>
      </w:tblGrid>
      <w:tr>
        <w:tc>
          <w:tcPr>
            <w:tcW w:type="dxa" w:w="5040"/>
            <w:shd w:fill="474A4F"/>
          </w:tcPr>
          <w:p>
            <w:r>
              <w:rPr>
                <w:rFonts w:ascii="Tw Cen MT" w:hAnsi="Tw Cen MT" w:eastAsia="Tw Cen MT"/>
                <w:b/>
                <w:color w:val="FFFFFF"/>
              </w:rPr>
              <w:t>Step</w:t>
            </w:r>
          </w:p>
        </w:tc>
        <w:tc>
          <w:tcPr>
            <w:tcW w:type="dxa" w:w="5040"/>
            <w:shd w:fill="474A4F"/>
          </w:tcPr>
          <w:p>
            <w:r>
              <w:rPr>
                <w:rFonts w:ascii="Tw Cen MT" w:hAnsi="Tw Cen MT" w:eastAsia="Tw Cen MT"/>
                <w:b/>
                <w:color w:val="FFFFFF"/>
              </w:rPr>
              <w:t>Validation Detail</w:t>
            </w:r>
          </w:p>
        </w:tc>
      </w:tr>
      <w:tr>
        <w:tc>
          <w:tcPr>
            <w:tcW w:type="dxa" w:w="5040"/>
            <w:vAlign w:val="top"/>
          </w:tcPr>
          <w:p>
            <w:pPr>
              <w:spacing w:line="276" w:lineRule="auto"/>
            </w:pPr>
            <w:r>
              <w:rPr>
                <w:rFonts w:ascii="Tw Cen MT" w:hAnsi="Tw Cen MT" w:eastAsia="Tw Cen MT"/>
                <w:sz w:val="20"/>
              </w:rPr>
              <w:t>Market size indicators</w:t>
            </w:r>
          </w:p>
        </w:tc>
        <w:tc>
          <w:tcPr>
            <w:tcW w:type="dxa" w:w="5040"/>
            <w:vAlign w:val="top"/>
          </w:tcPr>
          <w:p>
            <w:pPr>
              <w:spacing w:line="276" w:lineRule="auto"/>
            </w:pPr>
            <w:r>
              <w:rPr>
                <w:rFonts w:ascii="Tw Cen MT" w:hAnsi="Tw Cen MT" w:eastAsia="Tw Cen MT"/>
                <w:sz w:val="20"/>
              </w:rPr>
              <w:t>State-level market strength was assessed using population concentration, commercial activity, internally generated revenue, urban/commercial clusters, estimated electricity demand, SME/business activity, and off-taker potential.</w:t>
            </w:r>
          </w:p>
        </w:tc>
      </w:tr>
      <w:tr>
        <w:tc>
          <w:tcPr>
            <w:tcW w:type="dxa" w:w="5040"/>
            <w:vAlign w:val="top"/>
          </w:tcPr>
          <w:p>
            <w:pPr>
              <w:spacing w:line="276" w:lineRule="auto"/>
            </w:pPr>
            <w:r>
              <w:rPr>
                <w:rFonts w:ascii="Tw Cen MT" w:hAnsi="Tw Cen MT" w:eastAsia="Tw Cen MT"/>
                <w:sz w:val="20"/>
              </w:rPr>
              <w:t>Investment readiness indicators</w:t>
            </w:r>
          </w:p>
        </w:tc>
        <w:tc>
          <w:tcPr>
            <w:tcW w:type="dxa" w:w="5040"/>
            <w:vAlign w:val="top"/>
          </w:tcPr>
          <w:p>
            <w:pPr>
              <w:spacing w:line="276" w:lineRule="auto"/>
            </w:pPr>
            <w:r>
              <w:rPr>
                <w:rFonts w:ascii="Tw Cen MT" w:hAnsi="Tw Cen MT" w:eastAsia="Tw Cen MT"/>
                <w:sz w:val="20"/>
              </w:rPr>
              <w:t>Investment readiness was assessed using fiscal capacity, commercial/industrial base, energy-sector activity, grid/DisCo context, mini-grid/renewable-energy opportunity, infrastructure/logistics potential, and general project bankability.</w:t>
            </w:r>
          </w:p>
        </w:tc>
      </w:tr>
      <w:tr>
        <w:tc>
          <w:tcPr>
            <w:tcW w:type="dxa" w:w="5040"/>
            <w:vAlign w:val="top"/>
          </w:tcPr>
          <w:p>
            <w:pPr>
              <w:spacing w:line="276" w:lineRule="auto"/>
            </w:pPr>
            <w:r>
              <w:rPr>
                <w:rFonts w:ascii="Tw Cen MT" w:hAnsi="Tw Cen MT" w:eastAsia="Tw Cen MT"/>
                <w:sz w:val="20"/>
              </w:rPr>
              <w:t>Normalisation</w:t>
            </w:r>
          </w:p>
        </w:tc>
        <w:tc>
          <w:tcPr>
            <w:tcW w:type="dxa" w:w="5040"/>
            <w:vAlign w:val="top"/>
          </w:tcPr>
          <w:p>
            <w:pPr>
              <w:spacing w:line="276" w:lineRule="auto"/>
            </w:pPr>
            <w:r>
              <w:rPr>
                <w:rFonts w:ascii="Tw Cen MT" w:hAnsi="Tw Cen MT" w:eastAsia="Tw Cen MT"/>
                <w:sz w:val="20"/>
              </w:rPr>
              <w:t>Each selected indicator was converted to a comparable 0-1 scale so that states with different units could be compared fairly.</w:t>
            </w:r>
          </w:p>
        </w:tc>
      </w:tr>
      <w:tr>
        <w:tc>
          <w:tcPr>
            <w:tcW w:type="dxa" w:w="5040"/>
            <w:vAlign w:val="top"/>
          </w:tcPr>
          <w:p>
            <w:pPr>
              <w:spacing w:line="276" w:lineRule="auto"/>
            </w:pPr>
            <w:r>
              <w:rPr>
                <w:rFonts w:ascii="Tw Cen MT" w:hAnsi="Tw Cen MT" w:eastAsia="Tw Cen MT"/>
                <w:sz w:val="20"/>
              </w:rPr>
              <w:t>Scoring</w:t>
            </w:r>
          </w:p>
        </w:tc>
        <w:tc>
          <w:tcPr>
            <w:tcW w:type="dxa" w:w="5040"/>
            <w:vAlign w:val="top"/>
          </w:tcPr>
          <w:p>
            <w:pPr>
              <w:spacing w:line="276" w:lineRule="auto"/>
            </w:pPr>
            <w:r>
              <w:rPr>
                <w:rFonts w:ascii="Tw Cen MT" w:hAnsi="Tw Cen MT" w:eastAsia="Tw Cen MT"/>
                <w:sz w:val="20"/>
              </w:rPr>
              <w:t>The original combined score supplied in the working file was separated into two defensible planning columns: Market Size Score and Investment Readiness Score. Higher values indicate stronger market opportunity and stronger readiness for investment.</w:t>
            </w:r>
          </w:p>
        </w:tc>
      </w:tr>
      <w:tr>
        <w:tc>
          <w:tcPr>
            <w:tcW w:type="dxa" w:w="5040"/>
            <w:vAlign w:val="top"/>
          </w:tcPr>
          <w:p>
            <w:pPr>
              <w:spacing w:line="276" w:lineRule="auto"/>
            </w:pPr>
            <w:r>
              <w:rPr>
                <w:rFonts w:ascii="Tw Cen MT" w:hAnsi="Tw Cen MT" w:eastAsia="Tw Cen MT"/>
                <w:sz w:val="20"/>
              </w:rPr>
              <w:t>Classification</w:t>
            </w:r>
          </w:p>
        </w:tc>
        <w:tc>
          <w:tcPr>
            <w:tcW w:type="dxa" w:w="5040"/>
            <w:vAlign w:val="top"/>
          </w:tcPr>
          <w:p>
            <w:pPr>
              <w:spacing w:line="276" w:lineRule="auto"/>
            </w:pPr>
            <w:r>
              <w:rPr>
                <w:rFonts w:ascii="Tw Cen MT" w:hAnsi="Tw Cen MT" w:eastAsia="Tw Cen MT"/>
                <w:sz w:val="20"/>
              </w:rPr>
              <w:t>Scores were grouped into simple bands: Very High, High, Medium-High, Medium, Low-Medium, and Low, to make the dataset easier to interpret for decision-making.</w:t>
            </w:r>
          </w:p>
        </w:tc>
      </w:tr>
    </w:tbl>
    <w:p>
      <w:pPr>
        <w:pStyle w:val="Heading1"/>
      </w:pPr>
      <w:r>
        <w:rPr>
          <w:rFonts w:ascii="Tw Cen MT" w:hAnsi="Tw Cen MT" w:eastAsia="Tw Cen MT"/>
          <w:color w:val="474A4F"/>
        </w:rPr>
        <w:t>3. Validation Method</w:t>
      </w:r>
    </w:p>
    <w:p>
      <w:pPr>
        <w:spacing w:line="360" w:lineRule="auto"/>
      </w:pPr>
      <w:r>
        <w:rPr>
          <w:rFonts w:ascii="Tw Cen MT" w:hAnsi="Tw Cen MT" w:eastAsia="Tw Cen MT"/>
        </w:rPr>
        <w:t>The data was collected through desk review of official and reputable public data sources, then converted into a comparable planning index.</w:t>
      </w:r>
    </w:p>
    <w:p>
      <w:pPr>
        <w:spacing w:line="360" w:lineRule="auto"/>
      </w:pPr>
      <w:r>
        <w:rPr>
          <w:rFonts w:ascii="Tw Cen MT" w:hAnsi="Tw Cen MT" w:eastAsia="Tw Cen MT"/>
        </w:rPr>
        <w:t>Where a direct state-level variable was not published, proxy indicators were used. For example, IGR, population, commercial concentration, and electricity-sector reports were used to estimate demand strength and investment readiness.</w:t>
      </w:r>
    </w:p>
    <w:p>
      <w:pPr>
        <w:spacing w:line="360" w:lineRule="auto"/>
      </w:pPr>
      <w:r>
        <w:rPr>
          <w:rFonts w:ascii="Tw Cen MT" w:hAnsi="Tw Cen MT" w:eastAsia="Tw Cen MT"/>
        </w:rPr>
        <w:t>The final values should be used for screening, prioritisation, modelling, and presentation purposes. They should not be presented as raw official statistics unless each underlying indicator is separately cited.</w:t>
      </w:r>
    </w:p>
    <w:p>
      <w:pPr>
        <w:pStyle w:val="Heading1"/>
      </w:pPr>
      <w:r>
        <w:rPr>
          <w:rFonts w:ascii="Tw Cen MT" w:hAnsi="Tw Cen MT" w:eastAsia="Tw Cen MT"/>
          <w:color w:val="474A4F"/>
        </w:rPr>
        <w:t>4. Data Source Links</w:t>
      </w:r>
    </w:p>
    <w:p>
      <w:pPr>
        <w:spacing w:line="288" w:lineRule="auto"/>
      </w:pPr>
      <w:r>
        <w:rPr>
          <w:rFonts w:ascii="Tw Cen MT" w:hAnsi="Tw Cen MT" w:eastAsia="Tw Cen MT"/>
          <w:b/>
        </w:rPr>
        <w:t xml:space="preserve">National Bureau of Statistics (NBS) - Internally Generated Revenue at State Level: </w:t>
      </w:r>
      <w:hyperlink r:id="rId9">
        <w:r>
          <w:rPr>
            <w:color w:val="0563C1"/>
            <w:u w:val="single"/>
          </w:rPr>
          <w:t>https://www.nigerianstat.gov.ng/elibrary/read/497</w:t>
        </w:r>
      </w:hyperlink>
    </w:p>
    <w:p>
      <w:pPr>
        <w:spacing w:line="288" w:lineRule="auto"/>
      </w:pPr>
      <w:r>
        <w:rPr>
          <w:rFonts w:ascii="Tw Cen MT" w:hAnsi="Tw Cen MT" w:eastAsia="Tw Cen MT"/>
          <w:b/>
        </w:rPr>
        <w:t xml:space="preserve">NBS Data Portal / National Statistical Publications: </w:t>
      </w:r>
      <w:hyperlink r:id="rId10">
        <w:r>
          <w:rPr>
            <w:color w:val="0563C1"/>
            <w:u w:val="single"/>
          </w:rPr>
          <w:t>https://www.nigerianstat.gov.ng/</w:t>
        </w:r>
      </w:hyperlink>
    </w:p>
    <w:p>
      <w:pPr>
        <w:spacing w:line="288" w:lineRule="auto"/>
      </w:pPr>
      <w:r>
        <w:rPr>
          <w:rFonts w:ascii="Tw Cen MT" w:hAnsi="Tw Cen MT" w:eastAsia="Tw Cen MT"/>
          <w:b/>
        </w:rPr>
        <w:t xml:space="preserve">Nigerian Electricity Regulatory Commission (NERC) - Electricity Market and DisCo Reports: </w:t>
      </w:r>
      <w:hyperlink r:id="rId11">
        <w:r>
          <w:rPr>
            <w:color w:val="0563C1"/>
            <w:u w:val="single"/>
          </w:rPr>
          <w:t>https://nerc.gov.ng/</w:t>
        </w:r>
      </w:hyperlink>
    </w:p>
    <w:p>
      <w:pPr>
        <w:spacing w:line="288" w:lineRule="auto"/>
      </w:pPr>
      <w:r>
        <w:rPr>
          <w:rFonts w:ascii="Tw Cen MT" w:hAnsi="Tw Cen MT" w:eastAsia="Tw Cen MT"/>
          <w:b/>
        </w:rPr>
        <w:t xml:space="preserve">NERC 2024 Q4 Electricity Market Report: </w:t>
      </w:r>
      <w:hyperlink r:id="rId12">
        <w:r>
          <w:rPr>
            <w:color w:val="0563C1"/>
            <w:u w:val="single"/>
          </w:rPr>
          <w:t>https://nerc.gov.ng/wp-content/uploads/2025/03/2024_Q4-Report.pdf</w:t>
        </w:r>
      </w:hyperlink>
    </w:p>
    <w:p>
      <w:pPr>
        <w:spacing w:line="288" w:lineRule="auto"/>
      </w:pPr>
      <w:r>
        <w:rPr>
          <w:rFonts w:ascii="Tw Cen MT" w:hAnsi="Tw Cen MT" w:eastAsia="Tw Cen MT"/>
          <w:b/>
        </w:rPr>
        <w:t xml:space="preserve">Rural Electrification Agency / Nigeria Electrification Programme - Mini-grid Programme: </w:t>
      </w:r>
      <w:hyperlink r:id="rId13">
        <w:r>
          <w:rPr>
            <w:color w:val="0563C1"/>
            <w:u w:val="single"/>
          </w:rPr>
          <w:t>https://nep.rea.gov.ng/mini-grid.html</w:t>
        </w:r>
      </w:hyperlink>
    </w:p>
    <w:p>
      <w:pPr>
        <w:spacing w:line="288" w:lineRule="auto"/>
      </w:pPr>
      <w:r>
        <w:rPr>
          <w:rFonts w:ascii="Tw Cen MT" w:hAnsi="Tw Cen MT" w:eastAsia="Tw Cen MT"/>
          <w:b/>
        </w:rPr>
        <w:t xml:space="preserve">World Bank Data - Nigeria: access to electricity, population, urbanisation, and development indicators: </w:t>
      </w:r>
      <w:hyperlink r:id="rId14">
        <w:r>
          <w:rPr>
            <w:color w:val="0563C1"/>
            <w:u w:val="single"/>
          </w:rPr>
          <w:t>https://data.worldbank.org/country/nigeria</w:t>
        </w:r>
      </w:hyperlink>
    </w:p>
    <w:p>
      <w:pPr>
        <w:spacing w:line="288" w:lineRule="auto"/>
      </w:pPr>
      <w:r>
        <w:rPr>
          <w:rFonts w:ascii="Tw Cen MT" w:hAnsi="Tw Cen MT" w:eastAsia="Tw Cen MT"/>
          <w:b/>
        </w:rPr>
        <w:t xml:space="preserve">World Bank DataBank - World Development Indicators for Nigeria: </w:t>
      </w:r>
      <w:hyperlink r:id="rId15">
        <w:r>
          <w:rPr>
            <w:color w:val="0563C1"/>
            <w:u w:val="single"/>
          </w:rPr>
          <w:t>https://databank.worldbank.org/reports.aspx?country=NGA&amp;source=2</w:t>
        </w:r>
      </w:hyperlink>
    </w:p>
    <w:p>
      <w:pPr>
        <w:pStyle w:val="Heading1"/>
      </w:pPr>
      <w:r>
        <w:rPr>
          <w:rFonts w:ascii="Tw Cen MT" w:hAnsi="Tw Cen MT" w:eastAsia="Tw Cen MT"/>
          <w:color w:val="474A4F"/>
        </w:rPr>
        <w:t>5. Validation Caveat</w:t>
      </w:r>
    </w:p>
    <w:p>
      <w:pPr>
        <w:spacing w:line="360" w:lineRule="auto"/>
      </w:pPr>
      <w:r>
        <w:rPr>
          <w:rFonts w:ascii="Tw Cen MT" w:hAnsi="Tw Cen MT" w:eastAsia="Tw Cen MT"/>
        </w:rPr>
        <w:t>The Market Size and Investment Readiness figures are modelled estimates based on multiple public proxy indicators. They are suitable for feasibility screening and comparative analysis across states, but they should be updated when new official state-level GDP, IGR, electricity consumption, mini-grid, population, or business registration data becomes available.</w:t>
      </w:r>
    </w:p>
    <w:p>
      <w:pPr>
        <w:pStyle w:val="Heading1"/>
      </w:pPr>
      <w:r>
        <w:rPr>
          <w:rFonts w:ascii="Tw Cen MT" w:hAnsi="Tw Cen MT" w:eastAsia="Tw Cen MT"/>
          <w:color w:val="474A4F"/>
        </w:rPr>
        <w:t>6. Validation Conclusion</w:t>
      </w:r>
    </w:p>
    <w:p>
      <w:pPr>
        <w:spacing w:line="360" w:lineRule="auto"/>
      </w:pPr>
      <w:r>
        <w:rPr>
          <w:rFonts w:ascii="Tw Cen MT" w:hAnsi="Tw Cen MT" w:eastAsia="Tw Cen MT"/>
        </w:rPr>
        <w:t>Based on the referenced sources and proxy-based scoring approach, the dataset is considered fit for preliminary market analysis, investment prioritisation, and renewable-energy project screening across Nigeria’s 36 states and the FCT.</w:t>
      </w:r>
    </w:p>
    <w:sectPr w:rsidR="00FC693F" w:rsidRPr="0006063C" w:rsidSect="00034616">
      <w:footerReference w:type="default" r:id="rId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Validation Statement | Market Size and Investment Readiness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w Cen MT" w:hAnsi="Tw Cen MT" w:eastAsia="Tw Cen M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w Cen MT" w:hAnsi="Tw Cen MT" w:eastAsia="Tw Cen MT"/>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w Cen MT" w:hAnsi="Tw Cen MT" w:eastAsia="Tw Cen M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w Cen MT" w:hAnsi="Tw Cen MT" w:eastAsia="Tw Cen MT"/>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gerianstat.gov.ng/elibrary/read/497" TargetMode="External"/><Relationship Id="rId10" Type="http://schemas.openxmlformats.org/officeDocument/2006/relationships/hyperlink" Target="https://www.nigerianstat.gov.ng/" TargetMode="External"/><Relationship Id="rId11" Type="http://schemas.openxmlformats.org/officeDocument/2006/relationships/hyperlink" Target="https://nerc.gov.ng/" TargetMode="External"/><Relationship Id="rId12" Type="http://schemas.openxmlformats.org/officeDocument/2006/relationships/hyperlink" Target="https://nerc.gov.ng/wp-content/uploads/2025/03/2024_Q4-Report.pdf" TargetMode="External"/><Relationship Id="rId13" Type="http://schemas.openxmlformats.org/officeDocument/2006/relationships/hyperlink" Target="https://nep.rea.gov.ng/mini-grid.html" TargetMode="External"/><Relationship Id="rId14" Type="http://schemas.openxmlformats.org/officeDocument/2006/relationships/hyperlink" Target="https://data.worldbank.org/country/nigeria" TargetMode="External"/><Relationship Id="rId15" Type="http://schemas.openxmlformats.org/officeDocument/2006/relationships/hyperlink" Target="https://databank.worldbank.org/reports.aspx?country=NGA&amp;source=2"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