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60B6" w14:textId="5BF87F8C" w:rsidR="00F8172E" w:rsidRPr="00145445" w:rsidRDefault="00F8172E">
      <w:pPr>
        <w:spacing w:after="200" w:line="276" w:lineRule="auto"/>
        <w:rPr>
          <w:b/>
          <w:sz w:val="40"/>
          <w:szCs w:val="40"/>
          <w:u w:val="single"/>
          <w:lang w:val="en-GB"/>
        </w:rPr>
      </w:pPr>
      <w:bookmarkStart w:id="0" w:name="_GoBack"/>
      <w:bookmarkEnd w:id="0"/>
    </w:p>
    <w:p w14:paraId="23AF6E8C" w14:textId="77777777" w:rsidR="004C4EFF" w:rsidRPr="00145445" w:rsidRDefault="004C4EFF" w:rsidP="004C4EFF">
      <w:pPr>
        <w:spacing w:line="480" w:lineRule="auto"/>
        <w:jc w:val="both"/>
        <w:rPr>
          <w:b/>
          <w:lang w:val="en-GB"/>
        </w:rPr>
      </w:pPr>
      <w:r w:rsidRPr="00145445">
        <w:rPr>
          <w:b/>
          <w:noProof/>
          <w:lang w:val="en-GB"/>
        </w:rPr>
        <w:drawing>
          <wp:inline distT="0" distB="0" distL="0" distR="0" wp14:anchorId="232CD381" wp14:editId="09BAB32A">
            <wp:extent cx="5799220" cy="554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37" cy="5542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0B6C5" w14:textId="61E3F613" w:rsidR="004C4EFF" w:rsidRPr="00145445" w:rsidRDefault="006B0364" w:rsidP="004C4EFF">
      <w:pPr>
        <w:spacing w:line="360" w:lineRule="auto"/>
        <w:jc w:val="both"/>
        <w:rPr>
          <w:b/>
          <w:bCs/>
          <w:sz w:val="22"/>
          <w:szCs w:val="22"/>
          <w:lang w:val="en-GB"/>
        </w:rPr>
      </w:pPr>
      <w:r w:rsidRPr="00145445">
        <w:rPr>
          <w:b/>
          <w:bCs/>
          <w:sz w:val="22"/>
          <w:szCs w:val="22"/>
          <w:lang w:val="en-GB"/>
        </w:rPr>
        <w:t xml:space="preserve"> </w:t>
      </w:r>
      <w:r w:rsidR="004C4EFF" w:rsidRPr="00145445">
        <w:rPr>
          <w:b/>
          <w:bCs/>
          <w:sz w:val="22"/>
          <w:szCs w:val="22"/>
          <w:lang w:val="en-GB"/>
        </w:rPr>
        <w:t>S1</w:t>
      </w:r>
      <w:r w:rsidR="000B5209" w:rsidRPr="00145445">
        <w:rPr>
          <w:b/>
          <w:bCs/>
          <w:sz w:val="22"/>
          <w:szCs w:val="22"/>
          <w:lang w:val="en-GB"/>
        </w:rPr>
        <w:t xml:space="preserve"> Fig</w:t>
      </w:r>
      <w:r w:rsidR="004C4EFF" w:rsidRPr="00145445">
        <w:rPr>
          <w:sz w:val="22"/>
          <w:szCs w:val="22"/>
          <w:lang w:val="en-GB"/>
        </w:rPr>
        <w:t xml:space="preserve">: </w:t>
      </w:r>
      <w:r w:rsidR="004C4EFF" w:rsidRPr="00145445">
        <w:rPr>
          <w:b/>
          <w:bCs/>
          <w:sz w:val="22"/>
          <w:szCs w:val="22"/>
          <w:lang w:val="en-GB"/>
        </w:rPr>
        <w:t>Bacterial terpene synthases neighbour-joining tree</w:t>
      </w:r>
    </w:p>
    <w:p w14:paraId="49280ECE" w14:textId="3332AF03" w:rsidR="00986E70" w:rsidRPr="00145445" w:rsidRDefault="004C4EFF" w:rsidP="00986E70">
      <w:pPr>
        <w:spacing w:line="360" w:lineRule="auto"/>
        <w:jc w:val="both"/>
        <w:rPr>
          <w:sz w:val="22"/>
          <w:szCs w:val="22"/>
          <w:lang w:val="en-GB"/>
        </w:rPr>
      </w:pPr>
      <w:r w:rsidRPr="00145445">
        <w:rPr>
          <w:sz w:val="22"/>
          <w:szCs w:val="22"/>
          <w:lang w:val="en-GB"/>
        </w:rPr>
        <w:t>Neighbour-joining tree constructed from the amino acid sequences of characterized terpene synthases in this study (underlined) and in previous studies. Geosmin synthases (dark red), 2-methylisoborneol synthases (orange), monoterpene (light blue), diterpene (dark blue) and sesquiterpene synthases (purple) are shown and uncharacterized bacterial terpene synthases in this study (in red).</w:t>
      </w:r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374E4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202AB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DF2E2-6060-40B6-9F3A-C8C35911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5</cp:revision>
  <dcterms:created xsi:type="dcterms:W3CDTF">2020-04-15T17:04:00Z</dcterms:created>
  <dcterms:modified xsi:type="dcterms:W3CDTF">2020-04-21T10:35:00Z</dcterms:modified>
</cp:coreProperties>
</file>