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1CD" w:rsidRPr="004D31CD" w:rsidRDefault="004D31CD" w:rsidP="004D31CD">
      <w:r w:rsidRPr="004D31CD">
        <w:rPr>
          <w:b/>
          <w:bCs/>
        </w:rPr>
        <w:t>Additional file 10: Primer sequences and descriptive information of genes studied</w:t>
      </w:r>
    </w:p>
    <w:tbl>
      <w:tblPr>
        <w:tblpPr w:leftFromText="180" w:rightFromText="180" w:vertAnchor="text" w:tblpXSpec="center" w:tblpY="1"/>
        <w:tblOverlap w:val="never"/>
        <w:tblW w:w="15809" w:type="dxa"/>
        <w:tblCellMar>
          <w:left w:w="0" w:type="dxa"/>
          <w:right w:w="0" w:type="dxa"/>
        </w:tblCellMar>
        <w:tblLook w:val="04A0" w:firstRow="1" w:lastRow="0" w:firstColumn="1" w:lastColumn="0" w:noHBand="0" w:noVBand="1"/>
      </w:tblPr>
      <w:tblGrid>
        <w:gridCol w:w="1565"/>
        <w:gridCol w:w="1609"/>
        <w:gridCol w:w="2100"/>
        <w:gridCol w:w="1707"/>
        <w:gridCol w:w="1725"/>
        <w:gridCol w:w="479"/>
        <w:gridCol w:w="2324"/>
        <w:gridCol w:w="2835"/>
        <w:gridCol w:w="1465"/>
      </w:tblGrid>
      <w:tr w:rsidR="009874AC" w:rsidRPr="00485AA5" w:rsidTr="00304DA6">
        <w:trPr>
          <w:trHeight w:val="454"/>
        </w:trPr>
        <w:tc>
          <w:tcPr>
            <w:tcW w:w="1565"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b/>
                <w:bCs/>
                <w:sz w:val="18"/>
                <w:szCs w:val="18"/>
              </w:rPr>
              <w:t>Reference or Target Gene</w:t>
            </w:r>
          </w:p>
          <w:p w:rsidR="009874AC" w:rsidRPr="00485AA5" w:rsidRDefault="009874AC" w:rsidP="00304DA6">
            <w:pPr>
              <w:spacing w:after="0" w:line="240" w:lineRule="auto"/>
              <w:jc w:val="center"/>
              <w:rPr>
                <w:sz w:val="18"/>
                <w:szCs w:val="18"/>
              </w:rPr>
            </w:pPr>
            <w:r w:rsidRPr="00485AA5">
              <w:rPr>
                <w:b/>
                <w:bCs/>
                <w:sz w:val="18"/>
                <w:szCs w:val="18"/>
              </w:rPr>
              <w:t>Name (in this study)</w:t>
            </w:r>
          </w:p>
        </w:tc>
        <w:tc>
          <w:tcPr>
            <w:tcW w:w="1609"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9874AC" w:rsidRPr="00485AA5" w:rsidRDefault="009874AC" w:rsidP="00304DA6">
            <w:pPr>
              <w:spacing w:after="0" w:line="240" w:lineRule="auto"/>
              <w:jc w:val="center"/>
              <w:rPr>
                <w:b/>
                <w:bCs/>
                <w:sz w:val="18"/>
                <w:szCs w:val="18"/>
              </w:rPr>
            </w:pPr>
            <w:r w:rsidRPr="00485AA5">
              <w:rPr>
                <w:b/>
                <w:bCs/>
                <w:sz w:val="18"/>
                <w:szCs w:val="18"/>
              </w:rPr>
              <w:t>Reference</w:t>
            </w:r>
          </w:p>
        </w:tc>
        <w:tc>
          <w:tcPr>
            <w:tcW w:w="21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b/>
                <w:bCs/>
                <w:sz w:val="18"/>
                <w:szCs w:val="18"/>
              </w:rPr>
              <w:t>Reference</w:t>
            </w:r>
          </w:p>
          <w:p w:rsidR="009874AC" w:rsidRPr="00485AA5" w:rsidRDefault="009874AC" w:rsidP="00304DA6">
            <w:pPr>
              <w:spacing w:after="0" w:line="240" w:lineRule="auto"/>
              <w:jc w:val="center"/>
              <w:rPr>
                <w:sz w:val="18"/>
                <w:szCs w:val="18"/>
              </w:rPr>
            </w:pPr>
            <w:r w:rsidRPr="00485AA5">
              <w:rPr>
                <w:b/>
                <w:bCs/>
                <w:sz w:val="18"/>
                <w:szCs w:val="18"/>
              </w:rPr>
              <w:t>Gene ID</w:t>
            </w:r>
          </w:p>
        </w:tc>
        <w:tc>
          <w:tcPr>
            <w:tcW w:w="1707" w:type="dxa"/>
            <w:tcBorders>
              <w:top w:val="single" w:sz="8" w:space="0" w:color="000000"/>
              <w:left w:val="single" w:sz="8" w:space="0" w:color="000000"/>
              <w:bottom w:val="single" w:sz="4" w:space="0" w:color="auto"/>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b/>
                <w:bCs/>
                <w:sz w:val="18"/>
                <w:szCs w:val="18"/>
              </w:rPr>
              <w:t>CornCyc</w:t>
            </w:r>
            <w:proofErr w:type="spellEnd"/>
            <w:r w:rsidRPr="00485AA5">
              <w:rPr>
                <w:b/>
                <w:bCs/>
                <w:sz w:val="18"/>
                <w:szCs w:val="18"/>
              </w:rPr>
              <w:t>/</w:t>
            </w:r>
            <w:proofErr w:type="spellStart"/>
            <w:r w:rsidRPr="00485AA5">
              <w:rPr>
                <w:b/>
                <w:bCs/>
                <w:sz w:val="18"/>
                <w:szCs w:val="18"/>
              </w:rPr>
              <w:t>Uniprot</w:t>
            </w:r>
            <w:proofErr w:type="spellEnd"/>
          </w:p>
        </w:tc>
        <w:tc>
          <w:tcPr>
            <w:tcW w:w="1725" w:type="dxa"/>
            <w:tcBorders>
              <w:top w:val="single" w:sz="8" w:space="0" w:color="000000"/>
              <w:left w:val="single" w:sz="8" w:space="0" w:color="000000"/>
              <w:bottom w:val="single" w:sz="4" w:space="0" w:color="auto"/>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b/>
                <w:bCs/>
                <w:sz w:val="18"/>
                <w:szCs w:val="18"/>
              </w:rPr>
              <w:t>RefSeq</w:t>
            </w:r>
            <w:proofErr w:type="spellEnd"/>
          </w:p>
        </w:tc>
        <w:tc>
          <w:tcPr>
            <w:tcW w:w="479"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b/>
                <w:bCs/>
                <w:sz w:val="18"/>
                <w:szCs w:val="18"/>
              </w:rPr>
              <w:t>Chr</w:t>
            </w:r>
            <w:proofErr w:type="spellEnd"/>
          </w:p>
        </w:tc>
        <w:tc>
          <w:tcPr>
            <w:tcW w:w="2324"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b/>
                <w:bCs/>
                <w:sz w:val="18"/>
                <w:szCs w:val="18"/>
              </w:rPr>
              <w:t>Gene Product</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b/>
                <w:bCs/>
                <w:sz w:val="18"/>
                <w:szCs w:val="18"/>
              </w:rPr>
              <w:t>Primer Sequences (5'-3')</w:t>
            </w:r>
          </w:p>
        </w:tc>
        <w:tc>
          <w:tcPr>
            <w:tcW w:w="1465" w:type="dxa"/>
            <w:tcBorders>
              <w:top w:val="single" w:sz="8" w:space="0" w:color="000000"/>
              <w:left w:val="single" w:sz="8" w:space="0" w:color="000000"/>
              <w:bottom w:val="single" w:sz="8" w:space="0" w:color="000000"/>
              <w:right w:val="single" w:sz="8" w:space="0" w:color="000000"/>
            </w:tcBorders>
            <w:shd w:val="clear" w:color="auto" w:fill="D9D9D9"/>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b/>
                <w:bCs/>
                <w:sz w:val="18"/>
                <w:szCs w:val="18"/>
              </w:rPr>
              <w:t>Product</w:t>
            </w:r>
          </w:p>
          <w:p w:rsidR="009874AC" w:rsidRPr="00485AA5" w:rsidRDefault="009874AC" w:rsidP="00304DA6">
            <w:pPr>
              <w:spacing w:after="0" w:line="240" w:lineRule="auto"/>
              <w:jc w:val="center"/>
              <w:rPr>
                <w:sz w:val="18"/>
                <w:szCs w:val="18"/>
              </w:rPr>
            </w:pPr>
            <w:r w:rsidRPr="00485AA5">
              <w:rPr>
                <w:b/>
                <w:bCs/>
                <w:sz w:val="18"/>
                <w:szCs w:val="18"/>
              </w:rPr>
              <w:t>size</w:t>
            </w: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DAG</w:t>
            </w:r>
          </w:p>
        </w:tc>
        <w:tc>
          <w:tcPr>
            <w:tcW w:w="1609" w:type="dxa"/>
            <w:vMerge w:val="restart"/>
            <w:tcBorders>
              <w:top w:val="single" w:sz="8" w:space="0" w:color="000000"/>
              <w:left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r w:rsidRPr="00485AA5">
              <w:rPr>
                <w:rFonts w:cstheme="minorHAnsi"/>
                <w:sz w:val="18"/>
                <w:szCs w:val="18"/>
              </w:rPr>
              <w:t xml:space="preserve">Bridget Crampton, </w:t>
            </w:r>
            <w:proofErr w:type="spellStart"/>
            <w:r w:rsidRPr="00485AA5">
              <w:rPr>
                <w:rFonts w:cstheme="minorHAnsi"/>
                <w:sz w:val="18"/>
                <w:szCs w:val="18"/>
              </w:rPr>
              <w:t>pers</w:t>
            </w:r>
            <w:proofErr w:type="spellEnd"/>
            <w:r w:rsidRPr="00485AA5">
              <w:rPr>
                <w:rFonts w:cstheme="minorHAnsi"/>
                <w:sz w:val="18"/>
                <w:szCs w:val="18"/>
              </w:rPr>
              <w:t xml:space="preserve"> </w:t>
            </w:r>
            <w:proofErr w:type="spellStart"/>
            <w:r w:rsidRPr="00485AA5">
              <w:rPr>
                <w:rFonts w:cstheme="minorHAnsi"/>
                <w:sz w:val="18"/>
                <w:szCs w:val="18"/>
              </w:rPr>
              <w:t>comm</w:t>
            </w:r>
            <w:proofErr w:type="spellEnd"/>
          </w:p>
        </w:tc>
        <w:tc>
          <w:tcPr>
            <w:tcW w:w="2100" w:type="dxa"/>
            <w:vMerge w:val="restart"/>
            <w:tcBorders>
              <w:top w:val="single" w:sz="8" w:space="0" w:color="000000"/>
              <w:left w:val="single" w:sz="8" w:space="0" w:color="000000"/>
              <w:bottom w:val="single" w:sz="8" w:space="0" w:color="000000"/>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GRMZM2G451729</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val="restart"/>
            <w:tcBorders>
              <w:top w:val="single" w:sz="8" w:space="0" w:color="000000"/>
              <w:left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2</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dag protein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CAACCATCAGCACCTGGAT</w:t>
            </w:r>
          </w:p>
        </w:tc>
        <w:tc>
          <w:tcPr>
            <w:tcW w:w="1465" w:type="dxa"/>
            <w:vMerge w:val="restart"/>
            <w:tcBorders>
              <w:top w:val="single" w:sz="8" w:space="0" w:color="000000"/>
              <w:left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120</w:t>
            </w:r>
          </w:p>
        </w:tc>
      </w:tr>
      <w:tr w:rsidR="009874AC" w:rsidRPr="00485AA5" w:rsidTr="00304DA6">
        <w:trPr>
          <w:trHeight w:val="397"/>
        </w:trPr>
        <w:tc>
          <w:tcPr>
            <w:tcW w:w="1565" w:type="dxa"/>
            <w:vMerge/>
            <w:tcBorders>
              <w:top w:val="single" w:sz="8" w:space="0" w:color="000000"/>
              <w:left w:val="single" w:sz="8" w:space="0" w:color="000000"/>
              <w:bottom w:val="single" w:sz="4" w:space="0" w:color="auto"/>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4" w:space="0" w:color="auto"/>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4" w:space="0" w:color="auto"/>
              <w:right w:val="single" w:sz="4" w:space="0" w:color="auto"/>
            </w:tcBorders>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4" w:space="0" w:color="auto"/>
              <w:bottom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4" w:space="0" w:color="auto"/>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TGGGCTAGGATACTGACCAGA</w:t>
            </w:r>
          </w:p>
        </w:tc>
        <w:tc>
          <w:tcPr>
            <w:tcW w:w="1465" w:type="dxa"/>
            <w:vMerge/>
            <w:tcBorders>
              <w:left w:val="single" w:sz="8" w:space="0" w:color="000000"/>
              <w:bottom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4" w:space="0" w:color="auto"/>
              <w:left w:val="single" w:sz="4" w:space="0" w:color="auto"/>
              <w:bottom w:val="nil"/>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ETIF</w:t>
            </w:r>
          </w:p>
        </w:tc>
        <w:tc>
          <w:tcPr>
            <w:tcW w:w="1609" w:type="dxa"/>
            <w:vMerge w:val="restart"/>
            <w:tcBorders>
              <w:top w:val="single" w:sz="4" w:space="0" w:color="auto"/>
              <w:left w:val="single" w:sz="4" w:space="0" w:color="auto"/>
              <w:bottom w:val="nil"/>
              <w:right w:val="single" w:sz="4" w:space="0" w:color="auto"/>
            </w:tcBorders>
            <w:vAlign w:val="center"/>
          </w:tcPr>
          <w:p w:rsidR="009874AC" w:rsidRPr="00485AA5" w:rsidRDefault="009874AC" w:rsidP="00304DA6">
            <w:pPr>
              <w:spacing w:after="0" w:line="240" w:lineRule="auto"/>
              <w:jc w:val="center"/>
              <w:rPr>
                <w:sz w:val="18"/>
                <w:szCs w:val="18"/>
              </w:rPr>
            </w:pPr>
            <w:r w:rsidRPr="00485AA5">
              <w:rPr>
                <w:rFonts w:cstheme="minorHAnsi"/>
                <w:sz w:val="18"/>
                <w:szCs w:val="18"/>
              </w:rPr>
              <w:t xml:space="preserve">Bridget Crampton, </w:t>
            </w:r>
            <w:proofErr w:type="spellStart"/>
            <w:r w:rsidRPr="00485AA5">
              <w:rPr>
                <w:rFonts w:cstheme="minorHAnsi"/>
                <w:sz w:val="18"/>
                <w:szCs w:val="18"/>
              </w:rPr>
              <w:t>pers</w:t>
            </w:r>
            <w:proofErr w:type="spellEnd"/>
            <w:r w:rsidRPr="00485AA5">
              <w:rPr>
                <w:rFonts w:cstheme="minorHAnsi"/>
                <w:sz w:val="18"/>
                <w:szCs w:val="18"/>
              </w:rPr>
              <w:t xml:space="preserve"> </w:t>
            </w:r>
            <w:proofErr w:type="spellStart"/>
            <w:r w:rsidRPr="00485AA5">
              <w:rPr>
                <w:rFonts w:cstheme="minorHAnsi"/>
                <w:sz w:val="18"/>
                <w:szCs w:val="18"/>
              </w:rPr>
              <w:t>comm</w:t>
            </w:r>
            <w:proofErr w:type="spellEnd"/>
          </w:p>
        </w:tc>
        <w:tc>
          <w:tcPr>
            <w:tcW w:w="2100" w:type="dxa"/>
            <w:vMerge w:val="restart"/>
            <w:tcBorders>
              <w:top w:val="single" w:sz="4" w:space="0" w:color="auto"/>
              <w:left w:val="single" w:sz="4" w:space="0" w:color="auto"/>
              <w:bottom w:val="nil"/>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GRMZM2G445905</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val="restart"/>
            <w:tcBorders>
              <w:top w:val="single" w:sz="4" w:space="0" w:color="auto"/>
              <w:left w:val="single" w:sz="4" w:space="0" w:color="auto"/>
              <w:bottom w:val="nil"/>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w:t>
            </w:r>
          </w:p>
        </w:tc>
        <w:tc>
          <w:tcPr>
            <w:tcW w:w="2324"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eukaryotic translation</w:t>
            </w:r>
          </w:p>
          <w:p w:rsidR="009874AC" w:rsidRPr="00485AA5" w:rsidRDefault="009874AC" w:rsidP="00304DA6">
            <w:pPr>
              <w:spacing w:after="0" w:line="240" w:lineRule="auto"/>
              <w:jc w:val="center"/>
              <w:rPr>
                <w:sz w:val="18"/>
                <w:szCs w:val="18"/>
              </w:rPr>
            </w:pPr>
            <w:r w:rsidRPr="00485AA5">
              <w:rPr>
                <w:sz w:val="18"/>
                <w:szCs w:val="18"/>
              </w:rPr>
              <w:t>initiation factor 4e-2</w:t>
            </w:r>
          </w:p>
        </w:tc>
        <w:tc>
          <w:tcPr>
            <w:tcW w:w="2835" w:type="dxa"/>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AGAAGGGATAAGCCAAGCAG</w:t>
            </w:r>
          </w:p>
        </w:tc>
        <w:tc>
          <w:tcPr>
            <w:tcW w:w="1465"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104</w:t>
            </w:r>
          </w:p>
        </w:tc>
      </w:tr>
      <w:tr w:rsidR="009874AC" w:rsidRPr="00485AA5" w:rsidTr="00304DA6">
        <w:trPr>
          <w:trHeight w:val="397"/>
        </w:trPr>
        <w:tc>
          <w:tcPr>
            <w:tcW w:w="1565" w:type="dxa"/>
            <w:vMerge/>
            <w:tcBorders>
              <w:left w:val="single" w:sz="4" w:space="0" w:color="auto"/>
              <w:bottom w:val="single" w:sz="4" w:space="0" w:color="auto"/>
              <w:right w:val="single" w:sz="4" w:space="0" w:color="auto"/>
            </w:tcBorders>
            <w:shd w:val="clear" w:color="auto" w:fill="auto"/>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4" w:space="0" w:color="auto"/>
              <w:bottom w:val="single" w:sz="4" w:space="0" w:color="auto"/>
              <w:right w:val="single" w:sz="4" w:space="0" w:color="auto"/>
            </w:tcBorders>
            <w:vAlign w:val="center"/>
          </w:tcPr>
          <w:p w:rsidR="009874AC" w:rsidRPr="00485AA5" w:rsidRDefault="009874AC" w:rsidP="00304DA6">
            <w:pPr>
              <w:spacing w:after="0" w:line="240" w:lineRule="auto"/>
              <w:jc w:val="center"/>
              <w:rPr>
                <w:sz w:val="18"/>
                <w:szCs w:val="18"/>
              </w:rPr>
            </w:pPr>
          </w:p>
        </w:tc>
        <w:tc>
          <w:tcPr>
            <w:tcW w:w="2100" w:type="dxa"/>
            <w:vMerge/>
            <w:tcBorders>
              <w:left w:val="single" w:sz="4" w:space="0" w:color="auto"/>
              <w:bottom w:val="single" w:sz="4" w:space="0" w:color="auto"/>
              <w:right w:val="single" w:sz="4" w:space="0" w:color="auto"/>
            </w:tcBorders>
            <w:shd w:val="clear" w:color="auto" w:fill="auto"/>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left w:val="single" w:sz="4" w:space="0" w:color="auto"/>
              <w:bottom w:val="single" w:sz="4" w:space="0" w:color="auto"/>
              <w:right w:val="single" w:sz="4" w:space="0" w:color="auto"/>
            </w:tcBorders>
            <w:shd w:val="clear" w:color="auto" w:fill="auto"/>
            <w:vAlign w:val="center"/>
            <w:hideMark/>
          </w:tcPr>
          <w:p w:rsidR="009874AC" w:rsidRPr="00485AA5" w:rsidRDefault="009874AC" w:rsidP="00304DA6">
            <w:pPr>
              <w:spacing w:after="0" w:line="240" w:lineRule="auto"/>
              <w:jc w:val="center"/>
              <w:rPr>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CCGATCTCAGCACAAAACTC</w:t>
            </w:r>
          </w:p>
        </w:tc>
        <w:tc>
          <w:tcPr>
            <w:tcW w:w="1465"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4" w:space="0" w:color="auto"/>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RPOL</w:t>
            </w:r>
          </w:p>
        </w:tc>
        <w:tc>
          <w:tcPr>
            <w:tcW w:w="1609" w:type="dxa"/>
            <w:vMerge w:val="restart"/>
            <w:tcBorders>
              <w:top w:val="single" w:sz="4" w:space="0" w:color="auto"/>
              <w:left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r w:rsidRPr="00485AA5">
              <w:rPr>
                <w:sz w:val="18"/>
                <w:szCs w:val="18"/>
              </w:rPr>
              <w:fldChar w:fldCharType="begin" w:fldLock="1"/>
            </w:r>
            <w:r w:rsidRPr="00485AA5">
              <w:rPr>
                <w:sz w:val="18"/>
                <w:szCs w:val="18"/>
              </w:rPr>
              <w:instrText>ADDIN CSL_CITATION { "citationItems" : [ { "id" : "ITEM-1", "itemData" : { "DOI" : "10.1186/gb-2006-7-3-r22", "ISSN" : "1465-6914", "PMID" : "16542496", "abstract" : "There are thousands of maize lines with distinctive normal as well as mutant phenotypes. To determine the validity of comparisons among mutants in different lines, we first address the question of how similar the transcriptomes are in three standard lines at four developmental stages.", "author" : [ { "dropping-particle" : "", "family" : "Ma", "given" : "Jiong", "non-dropping-particle" : "", "parse-names" : false, "suffix" : "" }, { "dropping-particle" : "", "family" : "Morrow", "given" : "Darren J", "non-dropping-particle" : "", "parse-names" : false, "suffix" : "" }, { "dropping-particle" : "", "family" : "Fernandes", "given" : "John", "non-dropping-particle" : "", "parse-names" : false, "suffix" : "" }, { "dropping-particle" : "", "family" : "Walbot", "given" : "Virginia", "non-dropping-particle" : "", "parse-names" : false, "suffix" : "" } ], "container-title" : "Genome Biology", "id" : "ITEM-1", "issue" : "3", "issued" : { "date-parts" : [ [ "2006", "1" ] ] }, "page" : "R22.1-R22.18", "title" : "Comparative profiling of the sense and antisense transcriptome of maize lines", "type" : "article-journal", "volume" : "7" }, "uris" : [ "http://www.mendeley.com/documents/?uuid=3335a12f-fb83-491b-a761-6834bdd488f1" ] } ], "mendeley" : { "formattedCitation" : "[2]", "plainTextFormattedCitation" : "[2]", "previouslyFormattedCitation" : "[2]" }, "properties" : { "noteIndex" : 0 }, "schema" : "https://github.com/citation-style-language/schema/raw/master/csl-citation.json" }</w:instrText>
            </w:r>
            <w:r w:rsidRPr="00485AA5">
              <w:rPr>
                <w:sz w:val="18"/>
                <w:szCs w:val="18"/>
              </w:rPr>
              <w:fldChar w:fldCharType="separate"/>
            </w:r>
            <w:r w:rsidRPr="00485AA5">
              <w:rPr>
                <w:noProof/>
                <w:sz w:val="18"/>
                <w:szCs w:val="18"/>
              </w:rPr>
              <w:t>[2]</w:t>
            </w:r>
            <w:r w:rsidRPr="00485AA5">
              <w:rPr>
                <w:sz w:val="18"/>
                <w:szCs w:val="18"/>
              </w:rPr>
              <w:fldChar w:fldCharType="end"/>
            </w:r>
          </w:p>
        </w:tc>
        <w:tc>
          <w:tcPr>
            <w:tcW w:w="2100" w:type="dxa"/>
            <w:vMerge w:val="restart"/>
            <w:tcBorders>
              <w:top w:val="single" w:sz="4" w:space="0" w:color="auto"/>
              <w:left w:val="single" w:sz="8" w:space="0" w:color="000000"/>
              <w:bottom w:val="single" w:sz="8" w:space="0" w:color="000000"/>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GRMZM2G034326</w:t>
            </w:r>
          </w:p>
        </w:tc>
        <w:tc>
          <w:tcPr>
            <w:tcW w:w="1707"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val="restart"/>
            <w:tcBorders>
              <w:top w:val="single" w:sz="4" w:space="0" w:color="auto"/>
              <w:left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5</w:t>
            </w:r>
          </w:p>
        </w:tc>
        <w:tc>
          <w:tcPr>
            <w:tcW w:w="2324" w:type="dxa"/>
            <w:vMerge w:val="restart"/>
            <w:tcBorders>
              <w:top w:val="single" w:sz="4" w:space="0" w:color="auto"/>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DNA directed RNA polymerase I, II, III</w:t>
            </w:r>
          </w:p>
        </w:tc>
        <w:tc>
          <w:tcPr>
            <w:tcW w:w="2835" w:type="dxa"/>
            <w:tcBorders>
              <w:top w:val="single" w:sz="4" w:space="0" w:color="auto"/>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AGCCAAAACGCTAAAGTGGA</w:t>
            </w:r>
          </w:p>
        </w:tc>
        <w:tc>
          <w:tcPr>
            <w:tcW w:w="1465" w:type="dxa"/>
            <w:vMerge w:val="restart"/>
            <w:tcBorders>
              <w:top w:val="single" w:sz="4" w:space="0" w:color="auto"/>
              <w:left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175</w:t>
            </w:r>
          </w:p>
        </w:tc>
      </w:tr>
      <w:tr w:rsidR="009874AC" w:rsidRPr="00485AA5" w:rsidTr="00304DA6">
        <w:trPr>
          <w:trHeight w:val="397"/>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4" w:space="0" w:color="auto"/>
            </w:tcBorders>
            <w:vAlign w:val="center"/>
            <w:hideMark/>
          </w:tcPr>
          <w:p w:rsidR="009874AC" w:rsidRPr="00485AA5" w:rsidRDefault="009874AC" w:rsidP="00304DA6">
            <w:pPr>
              <w:spacing w:after="0" w:line="240" w:lineRule="auto"/>
              <w:jc w:val="center"/>
              <w:rPr>
                <w:sz w:val="18"/>
                <w:szCs w:val="18"/>
              </w:rPr>
            </w:pPr>
          </w:p>
        </w:tc>
        <w:tc>
          <w:tcPr>
            <w:tcW w:w="1707"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4" w:space="0" w:color="auto"/>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TAAGTGACGAGCAAGGCAAA</w:t>
            </w:r>
          </w:p>
        </w:tc>
        <w:tc>
          <w:tcPr>
            <w:tcW w:w="1465" w:type="dxa"/>
            <w:vMerge/>
            <w:tcBorders>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SRL</w:t>
            </w:r>
          </w:p>
        </w:tc>
        <w:tc>
          <w:tcPr>
            <w:tcW w:w="1609" w:type="dxa"/>
            <w:vMerge w:val="restart"/>
            <w:tcBorders>
              <w:top w:val="single" w:sz="8" w:space="0" w:color="000000"/>
              <w:left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r w:rsidRPr="00485AA5">
              <w:rPr>
                <w:rFonts w:cstheme="minorHAnsi"/>
                <w:sz w:val="18"/>
                <w:szCs w:val="18"/>
              </w:rPr>
              <w:t xml:space="preserve">Bridget Crampton, </w:t>
            </w:r>
            <w:proofErr w:type="spellStart"/>
            <w:r w:rsidRPr="00485AA5">
              <w:rPr>
                <w:rFonts w:cstheme="minorHAnsi"/>
                <w:sz w:val="18"/>
                <w:szCs w:val="18"/>
              </w:rPr>
              <w:t>pers</w:t>
            </w:r>
            <w:proofErr w:type="spellEnd"/>
            <w:r w:rsidRPr="00485AA5">
              <w:rPr>
                <w:rFonts w:cstheme="minorHAnsi"/>
                <w:sz w:val="18"/>
                <w:szCs w:val="18"/>
              </w:rPr>
              <w:t xml:space="preserve"> </w:t>
            </w:r>
            <w:proofErr w:type="spellStart"/>
            <w:r w:rsidRPr="00485AA5">
              <w:rPr>
                <w:rFonts w:cstheme="minorHAnsi"/>
                <w:sz w:val="18"/>
                <w:szCs w:val="18"/>
              </w:rPr>
              <w:t>comm</w:t>
            </w:r>
            <w:proofErr w:type="spellEnd"/>
          </w:p>
        </w:tc>
        <w:tc>
          <w:tcPr>
            <w:tcW w:w="2100" w:type="dxa"/>
            <w:vMerge w:val="restart"/>
            <w:tcBorders>
              <w:top w:val="single" w:sz="8" w:space="0" w:color="000000"/>
              <w:left w:val="single" w:sz="8" w:space="0" w:color="000000"/>
              <w:bottom w:val="single" w:sz="8" w:space="0" w:color="000000"/>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GRMZM2G127729</w:t>
            </w:r>
          </w:p>
        </w:tc>
        <w:tc>
          <w:tcPr>
            <w:tcW w:w="1707"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val="restart"/>
            <w:tcBorders>
              <w:top w:val="single" w:sz="4" w:space="0" w:color="auto"/>
              <w:left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val="restart"/>
            <w:tcBorders>
              <w:top w:val="single" w:sz="8" w:space="0" w:color="000000"/>
              <w:left w:val="single" w:sz="4" w:space="0" w:color="auto"/>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2</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 xml:space="preserve">nuclear </w:t>
            </w:r>
            <w:proofErr w:type="spellStart"/>
            <w:r w:rsidRPr="00485AA5">
              <w:rPr>
                <w:sz w:val="18"/>
                <w:szCs w:val="18"/>
              </w:rPr>
              <w:t>sr</w:t>
            </w:r>
            <w:proofErr w:type="spellEnd"/>
            <w:r w:rsidRPr="00485AA5">
              <w:rPr>
                <w:sz w:val="18"/>
                <w:szCs w:val="18"/>
              </w:rPr>
              <w:t>-like RNA binding protein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ACACGCCATTGTTCGAGA</w:t>
            </w:r>
          </w:p>
        </w:tc>
        <w:tc>
          <w:tcPr>
            <w:tcW w:w="1465" w:type="dxa"/>
            <w:vMerge w:val="restart"/>
            <w:tcBorders>
              <w:top w:val="single" w:sz="8" w:space="0" w:color="000000"/>
              <w:left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117</w:t>
            </w:r>
          </w:p>
        </w:tc>
      </w:tr>
      <w:tr w:rsidR="009874AC" w:rsidRPr="00485AA5" w:rsidTr="00304DA6">
        <w:trPr>
          <w:trHeight w:val="397"/>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4" w:space="0" w:color="auto"/>
            </w:tcBorders>
            <w:vAlign w:val="center"/>
            <w:hideMark/>
          </w:tcPr>
          <w:p w:rsidR="009874AC" w:rsidRPr="00485AA5" w:rsidRDefault="009874AC" w:rsidP="00304DA6">
            <w:pPr>
              <w:spacing w:after="0" w:line="240" w:lineRule="auto"/>
              <w:jc w:val="center"/>
              <w:rPr>
                <w:sz w:val="18"/>
                <w:szCs w:val="18"/>
              </w:rPr>
            </w:pPr>
          </w:p>
        </w:tc>
        <w:tc>
          <w:tcPr>
            <w:tcW w:w="1707"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1725" w:type="dxa"/>
            <w:vMerge/>
            <w:tcBorders>
              <w:left w:val="single" w:sz="4" w:space="0" w:color="auto"/>
              <w:bottom w:val="single" w:sz="4" w:space="0" w:color="auto"/>
              <w:right w:val="single" w:sz="4" w:space="0" w:color="auto"/>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4" w:space="0" w:color="auto"/>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CAGGTTCGGGTGAACTTTG</w:t>
            </w:r>
          </w:p>
        </w:tc>
        <w:tc>
          <w:tcPr>
            <w:tcW w:w="1465" w:type="dxa"/>
            <w:vMerge/>
            <w:tcBorders>
              <w:left w:val="single" w:sz="8" w:space="0" w:color="000000"/>
              <w:bottom w:val="single" w:sz="8" w:space="0" w:color="000000"/>
              <w:right w:val="single" w:sz="8" w:space="0" w:color="000000"/>
            </w:tcBorders>
            <w:shd w:val="clear" w:color="auto" w:fill="auto"/>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866611">
            <w:pPr>
              <w:spacing w:after="0" w:line="240" w:lineRule="auto"/>
              <w:jc w:val="center"/>
              <w:rPr>
                <w:sz w:val="18"/>
                <w:szCs w:val="18"/>
              </w:rPr>
            </w:pPr>
            <w:r w:rsidRPr="00485AA5">
              <w:rPr>
                <w:i/>
                <w:iCs/>
                <w:sz w:val="18"/>
                <w:szCs w:val="18"/>
              </w:rPr>
              <w:t>Tps</w:t>
            </w:r>
            <w:r w:rsidR="00866611">
              <w:rPr>
                <w:i/>
                <w:iCs/>
                <w:sz w:val="18"/>
                <w:szCs w:val="18"/>
              </w:rPr>
              <w:t>6</w:t>
            </w:r>
          </w:p>
        </w:tc>
        <w:tc>
          <w:tcPr>
            <w:tcW w:w="1609" w:type="dxa"/>
            <w:vMerge w:val="restart"/>
            <w:tcBorders>
              <w:top w:val="single" w:sz="8" w:space="0" w:color="000000"/>
              <w:left w:val="single" w:sz="8" w:space="0" w:color="000000"/>
              <w:right w:val="single" w:sz="8" w:space="0" w:color="000000"/>
            </w:tcBorders>
            <w:shd w:val="clear" w:color="auto" w:fill="F2F2F2"/>
            <w:vAlign w:val="center"/>
          </w:tcPr>
          <w:p w:rsidR="009874AC" w:rsidRPr="00485AA5" w:rsidRDefault="009874AC" w:rsidP="00304DA6">
            <w:pPr>
              <w:spacing w:after="0" w:line="240" w:lineRule="auto"/>
              <w:jc w:val="center"/>
              <w:rPr>
                <w:sz w:val="18"/>
                <w:szCs w:val="18"/>
              </w:rPr>
            </w:pPr>
            <w:r w:rsidRPr="00485AA5">
              <w:rPr>
                <w:sz w:val="18"/>
                <w:szCs w:val="18"/>
              </w:rPr>
              <w:fldChar w:fldCharType="begin" w:fldLock="1"/>
            </w:r>
            <w:r w:rsidRPr="00485AA5">
              <w:rPr>
                <w:sz w:val="18"/>
                <w:szCs w:val="18"/>
              </w:rPr>
              <w:instrText>ADDIN CSL_CITATION { "citationItems" : [ { "id" : "ITEM-1", "itemData" : { "DOI" : "10.1104/pp.111.179457", "author" : [ { "dropping-particle" : "", "family" : "Huffaker", "given" : "Alisa", "non-dropping-particle" : "", "parse-names" : false, "suffix" : "" }, { "dropping-particle" : "", "family" : "Kaplan", "given" : "Fatma", "non-dropping-particle" : "", "parse-names" : false, "suffix" : "" }, { "dropping-particle" : "", "family" : "Vaughan", "given" : "Martha M", "non-dropping-particle" : "", "parse-names" : false, "suffix" : "" }, { "dropping-particle" : "", "family" : "Dafoe", "given" : "Nicole J", "non-dropping-particle" : "", "parse-names" : false, "suffix" : "" }, { "dropping-particle" : "", "family" : "Ni", "given" : "Xinzhi", "non-dropping-particle" : "", "parse-names" : false, "suffix" : "" }, { "dropping-particle" : "", "family" : "Rocca", "given" : "James R", "non-dropping-particle" : "", "parse-names" : false, "suffix" : "" }, { "dropping-particle" : "", "family" : "Alborn", "given" : "Hans T", "non-dropping-particle" : "", "parse-names" : false, "suffix" : "" }, { "dropping-particle" : "", "family" : "Teal", "given" : "Peter E A", "non-dropping-particle" : "", "parse-names" : false, "suffix" : "" }, { "dropping-particle" : "", "family" : "Schmelz", "given" : "Eric A", "non-dropping-particle" : "", "parse-names" : false, "suffix" : "" } ], "container-title" : "Plant Physiology", "id" : "ITEM-1", "issued" : { "date-parts" : [ [ "2011" ] ] }, "page" : "2082-2097", "title" : "Novel Acidic Sesquiterpenoids Constitute a Dominant Class of Pathogen-Induced Phytoalexins in Maize", "type" : "article-journal", "volume" : "156" }, "uris" : [ "http://www.mendeley.com/documents/?uuid=f6c37cfd-0c38-4724-aa31-dab021c1142b" ] } ], "mendeley" : { "formattedCitation" : "[3]", "plainTextFormattedCitation" : "[3]", "previouslyFormattedCitation" : "[3]" }, "properties" : { "noteIndex" : 0 }, "schema" : "https://github.com/citation-style-language/schema/raw/master/csl-citation.json" }</w:instrText>
            </w:r>
            <w:r w:rsidRPr="00485AA5">
              <w:rPr>
                <w:sz w:val="18"/>
                <w:szCs w:val="18"/>
              </w:rPr>
              <w:fldChar w:fldCharType="separate"/>
            </w:r>
            <w:r w:rsidRPr="00485AA5">
              <w:rPr>
                <w:noProof/>
                <w:sz w:val="18"/>
                <w:szCs w:val="18"/>
              </w:rPr>
              <w:t>[3]</w:t>
            </w:r>
            <w:r w:rsidRPr="00485AA5">
              <w:rPr>
                <w:sz w:val="18"/>
                <w:szCs w:val="18"/>
              </w:rPr>
              <w:fldChar w:fldCharType="end"/>
            </w:r>
          </w:p>
        </w:tc>
        <w:tc>
          <w:tcPr>
            <w:tcW w:w="2100"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bookmarkStart w:id="0" w:name="_GoBack"/>
            <w:r w:rsidRPr="00485AA5">
              <w:rPr>
                <w:sz w:val="18"/>
                <w:szCs w:val="18"/>
              </w:rPr>
              <w:t>GRMZM2G127087</w:t>
            </w:r>
            <w:bookmarkEnd w:id="0"/>
            <w:r w:rsidRPr="00485AA5">
              <w:rPr>
                <w:sz w:val="18"/>
                <w:szCs w:val="18"/>
              </w:rPr>
              <w:t>_T03</w:t>
            </w:r>
          </w:p>
        </w:tc>
        <w:tc>
          <w:tcPr>
            <w:tcW w:w="1707"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G-12279/ K7TGS7</w:t>
            </w:r>
          </w:p>
        </w:tc>
        <w:tc>
          <w:tcPr>
            <w:tcW w:w="172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NM_001112480/ NP_001105950</w:t>
            </w:r>
          </w:p>
        </w:tc>
        <w:tc>
          <w:tcPr>
            <w:tcW w:w="479"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10</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866611">
            <w:pPr>
              <w:spacing w:after="0" w:line="240" w:lineRule="auto"/>
              <w:jc w:val="center"/>
              <w:rPr>
                <w:sz w:val="18"/>
                <w:szCs w:val="18"/>
              </w:rPr>
            </w:pPr>
            <w:r w:rsidRPr="00485AA5">
              <w:rPr>
                <w:sz w:val="18"/>
                <w:szCs w:val="18"/>
              </w:rPr>
              <w:t xml:space="preserve">terpene synthase </w:t>
            </w:r>
            <w:r w:rsidR="00866611">
              <w:rPr>
                <w:sz w:val="18"/>
                <w:szCs w:val="18"/>
              </w:rPr>
              <w:t>6</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GAAATGCGACAAAGGGCTG</w:t>
            </w:r>
          </w:p>
        </w:tc>
        <w:tc>
          <w:tcPr>
            <w:tcW w:w="1465"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398</w:t>
            </w:r>
          </w:p>
        </w:tc>
      </w:tr>
      <w:tr w:rsidR="009874AC" w:rsidRPr="00485AA5" w:rsidTr="00304DA6">
        <w:trPr>
          <w:trHeight w:val="397"/>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TCTTGAAGGCATCTCGTAGTA</w:t>
            </w:r>
          </w:p>
        </w:tc>
        <w:tc>
          <w:tcPr>
            <w:tcW w:w="1465"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41671D">
            <w:pPr>
              <w:spacing w:after="0" w:line="240" w:lineRule="auto"/>
              <w:jc w:val="center"/>
              <w:rPr>
                <w:sz w:val="18"/>
                <w:szCs w:val="18"/>
              </w:rPr>
            </w:pPr>
            <w:r w:rsidRPr="00485AA5">
              <w:rPr>
                <w:i/>
                <w:iCs/>
                <w:sz w:val="18"/>
                <w:szCs w:val="18"/>
              </w:rPr>
              <w:t>An2</w:t>
            </w:r>
          </w:p>
        </w:tc>
        <w:tc>
          <w:tcPr>
            <w:tcW w:w="1609" w:type="dxa"/>
            <w:vMerge w:val="restart"/>
            <w:tcBorders>
              <w:top w:val="single" w:sz="8" w:space="0" w:color="000000"/>
              <w:left w:val="single" w:sz="8" w:space="0" w:color="000000"/>
              <w:right w:val="single" w:sz="8" w:space="0" w:color="000000"/>
            </w:tcBorders>
            <w:shd w:val="clear" w:color="auto" w:fill="F2F2F2"/>
            <w:vAlign w:val="center"/>
          </w:tcPr>
          <w:p w:rsidR="009874AC" w:rsidRPr="00485AA5" w:rsidRDefault="009874AC" w:rsidP="00304DA6">
            <w:pPr>
              <w:spacing w:after="0" w:line="240" w:lineRule="auto"/>
              <w:jc w:val="center"/>
              <w:rPr>
                <w:sz w:val="18"/>
                <w:szCs w:val="18"/>
              </w:rPr>
            </w:pPr>
            <w:r w:rsidRPr="00485AA5">
              <w:rPr>
                <w:sz w:val="18"/>
                <w:szCs w:val="18"/>
              </w:rPr>
              <w:fldChar w:fldCharType="begin" w:fldLock="1"/>
            </w:r>
            <w:r w:rsidRPr="00485AA5">
              <w:rPr>
                <w:sz w:val="18"/>
                <w:szCs w:val="18"/>
              </w:rPr>
              <w:instrText>ADDIN CSL_CITATION { "citationItems" : [ { "id" : "ITEM-1", "itemData" : { "DOI" : "10.1104/pp.111.179457", "ISSN" : "1532-2548", "PMID" : "21690302", "abstract" : "Nonvolatile terpenoid phytoalexins occur throughout the plant kingdom, but until recently were not known constituents of chemical defense in maize (Zea mays). We describe a novel family of ubiquitous maize sesquiterpenoid phytoalexins, termed zealexins, which were discovered through characterization of Fusarium graminearum-induced responses. Zealexins accumulate to levels greater than 800 \u03bcg g\u207b\u00b9 fresh weight in F. graminearum-infected tissue. Their production is also elicited by a wide variety of fungi, Ostrinia nubilalis herbivory, and the synergistic action of jasmonic acid and ethylene. Zealexins exhibit antifungal activity against numerous phytopathogenic fungi at physiologically relevant concentrations. Structural elucidation of four members of this complex family revealed that all are acidic sesquiterpenoids containing a hydrocarbon skeleton that resembles \u03b2-macrocarpene. Induced zealexin accumulation is preceded by increased expression of the genes encoding TERPENE SYNTHASE6 (TPS6) and TPS11, which catalyze \u03b2-macrocarpene production. Furthermore, zealexin accumulation displays direct positive relationships with the transcript levels of both genes. Microarray analysis of F. graminearum-infected tissue revealed that Tps6/Tps11 were among the most highly up-regulated genes, as was An2, an ent-copalyl diphosphate synthase associated with production of kauralexins. Transcript profiling suggests that zealexins cooccur with a number of antimicrobial proteins, including chitinases and pathogenesis-related proteins. In addition to zealexins, kauralexins and the benzoxazinoid 2-hydroxy-4,7-dimethoxy-1,4-benzoxazin-3-one-glucose (HDMBOA-glucose) were produced in fungal-infected tissue. HDMBOA-glucose accumulation occurred in both wild-type and benzoxazine-deficient1 (bx1) mutant lines, indicating that Bx1 gene activity is not required for HDMBOA biosynthesis. Together these results indicate an important cooperative role of terpenoid phytoalexins in maize biochemical defense.", "author" : [ { "dropping-particle" : "", "family" : "Schmelz", "given" : "Eric A", "non-dropping-particle" : "", "parse-names" : false, "suffix" : "" }, { "dropping-particle" : "", "family" : "Kaplan", "given" : "Fatma", "non-dropping-particle" : "", "parse-names" : false, "suffix" : "" }, { "dropping-particle" : "", "family" : "Huffaker", "given" : "Alisa", "non-dropping-particle" : "", "parse-names" : false, "suffix" : "" }, { "dropping-particle" : "", "family" : "Dafoe", "given" : "Nicole J", "non-dropping-particle" : "", "parse-names" : false, "suffix" : "" }, { "dropping-particle" : "", "family" : "Vaughan", "given" : "Martha M", "non-dropping-particle" : "", "parse-names" : false, "suffix" : "" }, { "dropping-particle" : "", "family" : "Ni", "given" : "Xinzhi", "non-dropping-particle" : "", "parse-names" : false, "suffix" : "" }, { "dropping-particle" : "", "family" : "Rocca", "given" : "James R", "non-dropping-particle" : "", "parse-names" : false, "suffix" : "" }, { "dropping-particle" : "", "family" : "Alborn", "given" : "Hans T", "non-dropping-particle" : "", "parse-names" : false, "suffix" : "" }, { "dropping-particle" : "", "family" : "Teal", "given" : "Peter E", "non-dropping-particle" : "", "parse-names" : false, "suffix" : "" } ], "container-title" : "Proceedings of the National Academy of Sciences of the United States of America", "id" : "ITEM-1", "issue" : "13", "issued" : { "date-parts" : [ [ "2011", "8" ] ] }, "page" : "5455-5460", "title" : "Identity, regulation, and activity of inducible diterpenoid phytoalexins in maize", "type" : "article-journal", "volume" : "108" }, "uris" : [ "http://www.mendeley.com/documents/?uuid=905c0849-01aa-4e23-bb64-65415609bdff" ] } ], "mendeley" : { "formattedCitation" : "[4]", "plainTextFormattedCitation" : "[4]" }, "properties" : { "noteIndex" : 0 }, "schema" : "https://github.com/citation-style-language/schema/raw/master/csl-citation.json" }</w:instrText>
            </w:r>
            <w:r w:rsidRPr="00485AA5">
              <w:rPr>
                <w:sz w:val="18"/>
                <w:szCs w:val="18"/>
              </w:rPr>
              <w:fldChar w:fldCharType="separate"/>
            </w:r>
            <w:r w:rsidRPr="00485AA5">
              <w:rPr>
                <w:noProof/>
                <w:sz w:val="18"/>
                <w:szCs w:val="18"/>
              </w:rPr>
              <w:t>[4]</w:t>
            </w:r>
            <w:r w:rsidRPr="00485AA5">
              <w:rPr>
                <w:sz w:val="18"/>
                <w:szCs w:val="18"/>
              </w:rPr>
              <w:fldChar w:fldCharType="end"/>
            </w:r>
          </w:p>
        </w:tc>
        <w:tc>
          <w:tcPr>
            <w:tcW w:w="2100"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2C7109" w:rsidP="00304DA6">
            <w:pPr>
              <w:spacing w:after="0" w:line="240" w:lineRule="auto"/>
              <w:jc w:val="center"/>
              <w:rPr>
                <w:sz w:val="18"/>
                <w:szCs w:val="18"/>
              </w:rPr>
            </w:pPr>
            <w:r>
              <w:rPr>
                <w:sz w:val="18"/>
                <w:szCs w:val="18"/>
              </w:rPr>
              <w:t>GRMZM2G044481</w:t>
            </w:r>
          </w:p>
        </w:tc>
        <w:tc>
          <w:tcPr>
            <w:tcW w:w="1707"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G-14667/ Q672R4</w:t>
            </w:r>
          </w:p>
        </w:tc>
        <w:tc>
          <w:tcPr>
            <w:tcW w:w="172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NM_001111787.1</w:t>
            </w:r>
          </w:p>
        </w:tc>
        <w:tc>
          <w:tcPr>
            <w:tcW w:w="479"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i/>
                <w:iCs/>
                <w:sz w:val="18"/>
                <w:szCs w:val="18"/>
              </w:rPr>
              <w:t>ent</w:t>
            </w:r>
            <w:r w:rsidRPr="00485AA5">
              <w:rPr>
                <w:sz w:val="18"/>
                <w:szCs w:val="18"/>
              </w:rPr>
              <w:t>-copalyl</w:t>
            </w:r>
            <w:proofErr w:type="spellEnd"/>
            <w:r w:rsidRPr="00485AA5">
              <w:rPr>
                <w:sz w:val="18"/>
                <w:szCs w:val="18"/>
              </w:rPr>
              <w:t xml:space="preserve"> diphosphate synthase 2</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TGTTCTTGTGAAGGCAGTTC</w:t>
            </w:r>
          </w:p>
        </w:tc>
        <w:tc>
          <w:tcPr>
            <w:tcW w:w="1465"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236</w:t>
            </w:r>
          </w:p>
        </w:tc>
      </w:tr>
      <w:tr w:rsidR="009874AC" w:rsidRPr="00485AA5" w:rsidTr="00304DA6">
        <w:trPr>
          <w:trHeight w:val="397"/>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TCATTCGAGCTAAAAGCAGA</w:t>
            </w:r>
          </w:p>
        </w:tc>
        <w:tc>
          <w:tcPr>
            <w:tcW w:w="1465"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CPS3</w:t>
            </w:r>
          </w:p>
        </w:tc>
        <w:tc>
          <w:tcPr>
            <w:tcW w:w="1609" w:type="dxa"/>
            <w:vMerge w:val="restart"/>
            <w:tcBorders>
              <w:top w:val="single" w:sz="8" w:space="0" w:color="000000"/>
              <w:left w:val="single" w:sz="8" w:space="0" w:color="000000"/>
              <w:right w:val="single" w:sz="8" w:space="0" w:color="000000"/>
            </w:tcBorders>
            <w:shd w:val="clear" w:color="auto" w:fill="F2F2F2"/>
            <w:vAlign w:val="center"/>
          </w:tcPr>
          <w:p w:rsidR="009874AC" w:rsidRPr="00485AA5" w:rsidRDefault="009874AC" w:rsidP="00304DA6">
            <w:pPr>
              <w:spacing w:after="0" w:line="240" w:lineRule="auto"/>
              <w:jc w:val="center"/>
              <w:rPr>
                <w:sz w:val="18"/>
                <w:szCs w:val="18"/>
              </w:rPr>
            </w:pPr>
            <w:r w:rsidRPr="00485AA5">
              <w:rPr>
                <w:sz w:val="18"/>
                <w:szCs w:val="18"/>
              </w:rPr>
              <w:t>This study</w:t>
            </w:r>
          </w:p>
        </w:tc>
        <w:tc>
          <w:tcPr>
            <w:tcW w:w="2100"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GRMZM2G068808</w:t>
            </w:r>
          </w:p>
        </w:tc>
        <w:tc>
          <w:tcPr>
            <w:tcW w:w="1707"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GDQC-104441</w:t>
            </w:r>
          </w:p>
          <w:p w:rsidR="009874AC" w:rsidRPr="00485AA5" w:rsidRDefault="009874AC" w:rsidP="00304DA6">
            <w:pPr>
              <w:spacing w:after="0" w:line="240" w:lineRule="auto"/>
              <w:jc w:val="center"/>
              <w:rPr>
                <w:sz w:val="18"/>
                <w:szCs w:val="18"/>
              </w:rPr>
            </w:pPr>
            <w:r w:rsidRPr="00485AA5">
              <w:rPr>
                <w:sz w:val="18"/>
                <w:szCs w:val="18"/>
              </w:rPr>
              <w:t>/K7THR6</w:t>
            </w:r>
          </w:p>
        </w:tc>
        <w:tc>
          <w:tcPr>
            <w:tcW w:w="172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XM_008664609.1</w:t>
            </w:r>
          </w:p>
        </w:tc>
        <w:tc>
          <w:tcPr>
            <w:tcW w:w="479"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10</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sz w:val="18"/>
                <w:szCs w:val="18"/>
              </w:rPr>
              <w:t>copalyl</w:t>
            </w:r>
            <w:proofErr w:type="spellEnd"/>
            <w:r w:rsidRPr="00485AA5">
              <w:rPr>
                <w:sz w:val="18"/>
                <w:szCs w:val="18"/>
              </w:rPr>
              <w:t xml:space="preserve"> diphosphate synthase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AGCCTTAGATGGATCGTTGAG</w:t>
            </w:r>
          </w:p>
        </w:tc>
        <w:tc>
          <w:tcPr>
            <w:tcW w:w="1465"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159</w:t>
            </w:r>
          </w:p>
        </w:tc>
      </w:tr>
      <w:tr w:rsidR="009874AC" w:rsidRPr="00485AA5" w:rsidTr="00304DA6">
        <w:trPr>
          <w:trHeight w:val="397"/>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GAATGACAAACCTTTCTCGCAC</w:t>
            </w:r>
          </w:p>
        </w:tc>
        <w:tc>
          <w:tcPr>
            <w:tcW w:w="1465"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r w:rsidR="009874AC" w:rsidRPr="00485AA5" w:rsidTr="00304DA6">
        <w:trPr>
          <w:trHeight w:val="397"/>
        </w:trPr>
        <w:tc>
          <w:tcPr>
            <w:tcW w:w="156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i/>
                <w:iCs/>
                <w:sz w:val="18"/>
                <w:szCs w:val="18"/>
              </w:rPr>
              <w:t>KSL2</w:t>
            </w:r>
          </w:p>
        </w:tc>
        <w:tc>
          <w:tcPr>
            <w:tcW w:w="1609" w:type="dxa"/>
            <w:vMerge w:val="restart"/>
            <w:tcBorders>
              <w:top w:val="single" w:sz="8" w:space="0" w:color="000000"/>
              <w:left w:val="single" w:sz="8" w:space="0" w:color="000000"/>
              <w:right w:val="single" w:sz="8" w:space="0" w:color="000000"/>
            </w:tcBorders>
            <w:shd w:val="clear" w:color="auto" w:fill="F2F2F2"/>
            <w:vAlign w:val="center"/>
          </w:tcPr>
          <w:p w:rsidR="009874AC" w:rsidRPr="00485AA5" w:rsidRDefault="009874AC" w:rsidP="00304DA6">
            <w:pPr>
              <w:spacing w:after="0" w:line="240" w:lineRule="auto"/>
              <w:jc w:val="center"/>
              <w:rPr>
                <w:sz w:val="18"/>
                <w:szCs w:val="18"/>
              </w:rPr>
            </w:pPr>
            <w:r w:rsidRPr="00485AA5">
              <w:rPr>
                <w:sz w:val="18"/>
                <w:szCs w:val="18"/>
              </w:rPr>
              <w:t>This study</w:t>
            </w:r>
          </w:p>
        </w:tc>
        <w:tc>
          <w:tcPr>
            <w:tcW w:w="2100"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0B5140">
            <w:pPr>
              <w:spacing w:after="0" w:line="240" w:lineRule="auto"/>
              <w:jc w:val="center"/>
              <w:rPr>
                <w:sz w:val="18"/>
                <w:szCs w:val="18"/>
              </w:rPr>
            </w:pPr>
            <w:r w:rsidRPr="00485AA5">
              <w:rPr>
                <w:sz w:val="18"/>
                <w:szCs w:val="18"/>
              </w:rPr>
              <w:t>AC214360.3_FG001</w:t>
            </w:r>
          </w:p>
        </w:tc>
        <w:tc>
          <w:tcPr>
            <w:tcW w:w="1707"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GDQC-5387/ B7ZYQ8</w:t>
            </w:r>
          </w:p>
        </w:tc>
        <w:tc>
          <w:tcPr>
            <w:tcW w:w="172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DAA54948</w:t>
            </w:r>
          </w:p>
        </w:tc>
        <w:tc>
          <w:tcPr>
            <w:tcW w:w="479"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3</w:t>
            </w:r>
          </w:p>
        </w:tc>
        <w:tc>
          <w:tcPr>
            <w:tcW w:w="2324"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roofErr w:type="spellStart"/>
            <w:r w:rsidRPr="00485AA5">
              <w:rPr>
                <w:sz w:val="18"/>
                <w:szCs w:val="18"/>
              </w:rPr>
              <w:t>kaurene</w:t>
            </w:r>
            <w:proofErr w:type="spellEnd"/>
            <w:r w:rsidRPr="00485AA5">
              <w:rPr>
                <w:sz w:val="18"/>
                <w:szCs w:val="18"/>
              </w:rPr>
              <w:t xml:space="preserve"> </w:t>
            </w:r>
            <w:proofErr w:type="spellStart"/>
            <w:r w:rsidRPr="00485AA5">
              <w:rPr>
                <w:sz w:val="18"/>
                <w:szCs w:val="18"/>
              </w:rPr>
              <w:t>syntase</w:t>
            </w:r>
            <w:proofErr w:type="spellEnd"/>
            <w:r w:rsidRPr="00485AA5">
              <w:rPr>
                <w:sz w:val="18"/>
                <w:szCs w:val="18"/>
              </w:rPr>
              <w:t>-like 2</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F: ACTCATCTCCGCTCACGAAT</w:t>
            </w:r>
          </w:p>
        </w:tc>
        <w:tc>
          <w:tcPr>
            <w:tcW w:w="1465" w:type="dxa"/>
            <w:vMerge w:val="restart"/>
            <w:tcBorders>
              <w:top w:val="single" w:sz="8" w:space="0" w:color="000000"/>
              <w:left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88</w:t>
            </w:r>
          </w:p>
        </w:tc>
      </w:tr>
      <w:tr w:rsidR="009874AC" w:rsidRPr="00485AA5" w:rsidTr="00304DA6">
        <w:trPr>
          <w:trHeight w:val="454"/>
        </w:trPr>
        <w:tc>
          <w:tcPr>
            <w:tcW w:w="156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609" w:type="dxa"/>
            <w:vMerge/>
            <w:tcBorders>
              <w:left w:val="single" w:sz="8" w:space="0" w:color="000000"/>
              <w:bottom w:val="single" w:sz="8" w:space="0" w:color="000000"/>
              <w:right w:val="single" w:sz="8" w:space="0" w:color="000000"/>
            </w:tcBorders>
            <w:vAlign w:val="center"/>
          </w:tcPr>
          <w:p w:rsidR="009874AC" w:rsidRPr="00485AA5" w:rsidRDefault="009874AC" w:rsidP="00304DA6">
            <w:pPr>
              <w:spacing w:after="0" w:line="240" w:lineRule="auto"/>
              <w:jc w:val="center"/>
              <w:rPr>
                <w:sz w:val="18"/>
                <w:szCs w:val="18"/>
              </w:rPr>
            </w:pPr>
          </w:p>
        </w:tc>
        <w:tc>
          <w:tcPr>
            <w:tcW w:w="2100"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07"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1725"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479"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c>
          <w:tcPr>
            <w:tcW w:w="2324" w:type="dxa"/>
            <w:vMerge/>
            <w:tcBorders>
              <w:top w:val="single" w:sz="8" w:space="0" w:color="000000"/>
              <w:left w:val="single" w:sz="8" w:space="0" w:color="000000"/>
              <w:bottom w:val="single" w:sz="8" w:space="0" w:color="000000"/>
              <w:right w:val="single" w:sz="8" w:space="0" w:color="000000"/>
            </w:tcBorders>
            <w:vAlign w:val="center"/>
            <w:hideMark/>
          </w:tcPr>
          <w:p w:rsidR="009874AC" w:rsidRPr="00485AA5" w:rsidRDefault="009874AC" w:rsidP="00304DA6">
            <w:pPr>
              <w:spacing w:after="0" w:line="240" w:lineRule="auto"/>
              <w:jc w:val="center"/>
              <w:rPr>
                <w:sz w:val="18"/>
                <w:szCs w:val="18"/>
              </w:rPr>
            </w:pP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r w:rsidRPr="00485AA5">
              <w:rPr>
                <w:sz w:val="18"/>
                <w:szCs w:val="18"/>
              </w:rPr>
              <w:t>R: ACCGGGGAGTTGATCTTCTT</w:t>
            </w:r>
          </w:p>
        </w:tc>
        <w:tc>
          <w:tcPr>
            <w:tcW w:w="1465" w:type="dxa"/>
            <w:vMerge/>
            <w:tcBorders>
              <w:left w:val="single" w:sz="8" w:space="0" w:color="000000"/>
              <w:bottom w:val="single" w:sz="8" w:space="0" w:color="000000"/>
              <w:right w:val="single" w:sz="8" w:space="0" w:color="000000"/>
            </w:tcBorders>
            <w:shd w:val="clear" w:color="auto" w:fill="F2F2F2"/>
            <w:tcMar>
              <w:top w:w="15" w:type="dxa"/>
              <w:left w:w="97" w:type="dxa"/>
              <w:bottom w:w="0" w:type="dxa"/>
              <w:right w:w="97" w:type="dxa"/>
            </w:tcMar>
            <w:vAlign w:val="center"/>
            <w:hideMark/>
          </w:tcPr>
          <w:p w:rsidR="009874AC" w:rsidRPr="00485AA5" w:rsidRDefault="009874AC" w:rsidP="00304DA6">
            <w:pPr>
              <w:spacing w:after="0" w:line="240" w:lineRule="auto"/>
              <w:jc w:val="center"/>
              <w:rPr>
                <w:sz w:val="18"/>
                <w:szCs w:val="18"/>
              </w:rPr>
            </w:pPr>
          </w:p>
        </w:tc>
      </w:tr>
    </w:tbl>
    <w:p w:rsidR="004D31CD" w:rsidRDefault="004D31CD"/>
    <w:sectPr w:rsidR="004D31CD" w:rsidSect="009874A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CD"/>
    <w:rsid w:val="000B5140"/>
    <w:rsid w:val="00144F3C"/>
    <w:rsid w:val="002C7109"/>
    <w:rsid w:val="0041671D"/>
    <w:rsid w:val="00485AA5"/>
    <w:rsid w:val="004D31CD"/>
    <w:rsid w:val="00866611"/>
    <w:rsid w:val="009874AC"/>
    <w:rsid w:val="00B504AD"/>
    <w:rsid w:val="00DF71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23751">
      <w:bodyDiv w:val="1"/>
      <w:marLeft w:val="0"/>
      <w:marRight w:val="0"/>
      <w:marTop w:val="0"/>
      <w:marBottom w:val="0"/>
      <w:divBdr>
        <w:top w:val="none" w:sz="0" w:space="0" w:color="auto"/>
        <w:left w:val="none" w:sz="0" w:space="0" w:color="auto"/>
        <w:bottom w:val="none" w:sz="0" w:space="0" w:color="auto"/>
        <w:right w:val="none" w:sz="0" w:space="0" w:color="auto"/>
      </w:divBdr>
    </w:div>
    <w:div w:id="10222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68659-F9FB-40BD-8FFA-EB620F40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dc:creator>
  <cp:lastModifiedBy>Shane Murray</cp:lastModifiedBy>
  <cp:revision>2</cp:revision>
  <dcterms:created xsi:type="dcterms:W3CDTF">2017-08-20T10:31:00Z</dcterms:created>
  <dcterms:modified xsi:type="dcterms:W3CDTF">2017-08-20T10:31:00Z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http://www.zotero.org/styles/bmc-plant-biology</vt:lpwstr>
  </property>
  <property fmtid="{D5CDD505-2E9C-101B-9397-08002B2CF9AE}" pid="9" name="Mendeley Recent Style Name 3_1">
    <vt:lpwstr>BMC Plant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095b7517-11d2-3729-96bd-c0c6aa01327a</vt:lpwstr>
  </property>
  <property fmtid="{D5CDD505-2E9C-101B-9397-08002B2CF9AE}" pid="24" name="Mendeley Citation Style_1">
    <vt:lpwstr>http://www.zotero.org/styles/bmc-plant-biology</vt:lpwstr>
  </property>
</Properties>
</file>