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40" w:rsidRDefault="00015440" w:rsidP="00015440">
      <w:pPr>
        <w:rPr>
          <w:b/>
          <w:bCs/>
        </w:rPr>
      </w:pPr>
      <w:r w:rsidRPr="00015440">
        <w:rPr>
          <w:b/>
          <w:bCs/>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079193" cy="3352800"/>
            <wp:effectExtent l="0" t="0" r="0" b="0"/>
            <wp:wrapSquare wrapText="bothSides"/>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9193" cy="3352800"/>
                    </a:xfrm>
                    <a:prstGeom prst="rect">
                      <a:avLst/>
                    </a:prstGeom>
                    <a:noFill/>
                  </pic:spPr>
                </pic:pic>
              </a:graphicData>
            </a:graphic>
          </wp:anchor>
        </w:drawing>
      </w: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p w:rsidR="00015440" w:rsidRDefault="00015440" w:rsidP="00015440">
      <w:pPr>
        <w:rPr>
          <w:b/>
          <w:bCs/>
        </w:rPr>
      </w:pPr>
    </w:p>
    <w:tbl>
      <w:tblPr>
        <w:tblStyle w:val="PlainTable3"/>
        <w:tblW w:w="8320" w:type="dxa"/>
        <w:tblLook w:val="04A0" w:firstRow="1" w:lastRow="0" w:firstColumn="1" w:lastColumn="0" w:noHBand="0" w:noVBand="1"/>
      </w:tblPr>
      <w:tblGrid>
        <w:gridCol w:w="1040"/>
        <w:gridCol w:w="1040"/>
        <w:gridCol w:w="1040"/>
        <w:gridCol w:w="1040"/>
        <w:gridCol w:w="1040"/>
        <w:gridCol w:w="1040"/>
        <w:gridCol w:w="1040"/>
        <w:gridCol w:w="1040"/>
      </w:tblGrid>
      <w:tr w:rsidR="00015440" w:rsidRPr="00015440" w:rsidTr="00015440">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040" w:type="dxa"/>
            <w:noWrap/>
            <w:hideMark/>
          </w:tcPr>
          <w:p w:rsidR="00015440" w:rsidRPr="00015440" w:rsidRDefault="00015440" w:rsidP="00015440">
            <w:pPr>
              <w:rPr>
                <w:rFonts w:ascii="Times New Roman" w:eastAsia="Times New Roman" w:hAnsi="Times New Roman" w:cs="Times New Roman"/>
                <w:sz w:val="24"/>
                <w:szCs w:val="24"/>
                <w:lang w:eastAsia="en-ZA"/>
              </w:rPr>
            </w:pPr>
          </w:p>
        </w:tc>
        <w:tc>
          <w:tcPr>
            <w:tcW w:w="1040" w:type="dxa"/>
            <w:noWrap/>
            <w:hideMark/>
          </w:tcPr>
          <w:p w:rsidR="00015440" w:rsidRPr="00015440" w:rsidRDefault="00015440" w:rsidP="000154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c>
          <w:tcPr>
            <w:tcW w:w="2080" w:type="dxa"/>
            <w:gridSpan w:val="2"/>
            <w:tcBorders>
              <w:bottom w:val="single" w:sz="4" w:space="0" w:color="auto"/>
            </w:tcBorders>
            <w:noWrap/>
            <w:hideMark/>
          </w:tcPr>
          <w:p w:rsidR="00015440" w:rsidRPr="00015440" w:rsidRDefault="00015440" w:rsidP="0001544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ZA"/>
              </w:rPr>
            </w:pPr>
            <w:r>
              <w:rPr>
                <w:rFonts w:ascii="Arial" w:eastAsia="Times New Roman" w:hAnsi="Arial" w:cs="Arial"/>
                <w:caps w:val="0"/>
                <w:sz w:val="20"/>
                <w:szCs w:val="20"/>
                <w:lang w:eastAsia="en-ZA"/>
              </w:rPr>
              <w:t>0dpi</w:t>
            </w:r>
          </w:p>
        </w:tc>
        <w:tc>
          <w:tcPr>
            <w:tcW w:w="2080" w:type="dxa"/>
            <w:gridSpan w:val="2"/>
            <w:noWrap/>
            <w:hideMark/>
          </w:tcPr>
          <w:p w:rsidR="00015440" w:rsidRPr="00015440" w:rsidRDefault="00015440" w:rsidP="0001544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ZA"/>
              </w:rPr>
            </w:pPr>
            <w:r w:rsidRPr="00015440">
              <w:rPr>
                <w:rFonts w:ascii="Arial" w:eastAsia="Times New Roman" w:hAnsi="Arial" w:cs="Arial"/>
                <w:caps w:val="0"/>
                <w:sz w:val="20"/>
                <w:szCs w:val="20"/>
                <w:lang w:eastAsia="en-ZA"/>
              </w:rPr>
              <w:t>14dpi</w:t>
            </w:r>
          </w:p>
        </w:tc>
        <w:tc>
          <w:tcPr>
            <w:tcW w:w="2080" w:type="dxa"/>
            <w:gridSpan w:val="2"/>
            <w:tcBorders>
              <w:bottom w:val="single" w:sz="4" w:space="0" w:color="auto"/>
            </w:tcBorders>
            <w:noWrap/>
            <w:hideMark/>
          </w:tcPr>
          <w:p w:rsidR="00015440" w:rsidRPr="00015440" w:rsidRDefault="00015440" w:rsidP="0001544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ZA"/>
              </w:rPr>
            </w:pPr>
            <w:r w:rsidRPr="00015440">
              <w:rPr>
                <w:rFonts w:ascii="Arial" w:eastAsia="Times New Roman" w:hAnsi="Arial" w:cs="Arial"/>
                <w:caps w:val="0"/>
                <w:sz w:val="20"/>
                <w:szCs w:val="20"/>
                <w:lang w:eastAsia="en-ZA"/>
              </w:rPr>
              <w:t>24/28dpi</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noWrap/>
            <w:hideMark/>
          </w:tcPr>
          <w:p w:rsidR="00015440" w:rsidRPr="00015440" w:rsidRDefault="00015440" w:rsidP="00015440">
            <w:pPr>
              <w:jc w:val="cente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c>
          <w:tcPr>
            <w:tcW w:w="1040" w:type="dxa"/>
            <w:tcBorders>
              <w:top w:val="single" w:sz="4" w:space="0" w:color="auto"/>
              <w:left w:val="single" w:sz="4" w:space="0" w:color="auto"/>
              <w:bottom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Ave</w:t>
            </w:r>
          </w:p>
        </w:tc>
        <w:tc>
          <w:tcPr>
            <w:tcW w:w="1040" w:type="dxa"/>
            <w:tcBorders>
              <w:top w:val="single" w:sz="4" w:space="0" w:color="auto"/>
              <w:bottom w:val="single" w:sz="4" w:space="0" w:color="auto"/>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i/>
                <w:iCs/>
                <w:color w:val="000000"/>
                <w:sz w:val="20"/>
                <w:szCs w:val="20"/>
                <w:lang w:eastAsia="en-ZA"/>
              </w:rPr>
            </w:pPr>
            <w:r w:rsidRPr="00015440">
              <w:rPr>
                <w:rFonts w:ascii="Arial" w:eastAsia="Times New Roman" w:hAnsi="Arial" w:cs="Arial"/>
                <w:b/>
                <w:bCs/>
                <w:i/>
                <w:iCs/>
                <w:color w:val="000000"/>
                <w:sz w:val="20"/>
                <w:szCs w:val="20"/>
                <w:lang w:eastAsia="en-ZA"/>
              </w:rPr>
              <w:t>SEM</w:t>
            </w:r>
          </w:p>
        </w:tc>
        <w:tc>
          <w:tcPr>
            <w:tcW w:w="1040" w:type="dxa"/>
            <w:tcBorders>
              <w:left w:val="single" w:sz="4" w:space="0" w:color="auto"/>
              <w:bottom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Ave</w:t>
            </w:r>
          </w:p>
        </w:tc>
        <w:tc>
          <w:tcPr>
            <w:tcW w:w="1040" w:type="dxa"/>
            <w:tcBorders>
              <w:bottom w:val="single" w:sz="4" w:space="0" w:color="auto"/>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i/>
                <w:iCs/>
                <w:color w:val="000000"/>
                <w:sz w:val="20"/>
                <w:szCs w:val="20"/>
                <w:lang w:eastAsia="en-ZA"/>
              </w:rPr>
            </w:pPr>
            <w:r w:rsidRPr="00015440">
              <w:rPr>
                <w:rFonts w:ascii="Arial" w:eastAsia="Times New Roman" w:hAnsi="Arial" w:cs="Arial"/>
                <w:b/>
                <w:bCs/>
                <w:i/>
                <w:iCs/>
                <w:color w:val="000000"/>
                <w:sz w:val="20"/>
                <w:szCs w:val="20"/>
                <w:lang w:eastAsia="en-ZA"/>
              </w:rPr>
              <w:t>SEM</w:t>
            </w:r>
          </w:p>
        </w:tc>
        <w:tc>
          <w:tcPr>
            <w:tcW w:w="1040" w:type="dxa"/>
            <w:tcBorders>
              <w:top w:val="single" w:sz="4" w:space="0" w:color="auto"/>
              <w:left w:val="single" w:sz="4" w:space="0" w:color="auto"/>
              <w:bottom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Ave</w:t>
            </w:r>
          </w:p>
        </w:tc>
        <w:tc>
          <w:tcPr>
            <w:tcW w:w="1040" w:type="dxa"/>
            <w:tcBorders>
              <w:top w:val="single" w:sz="4" w:space="0" w:color="auto"/>
              <w:bottom w:val="single" w:sz="4" w:space="0" w:color="auto"/>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i/>
                <w:iCs/>
                <w:color w:val="000000"/>
                <w:sz w:val="20"/>
                <w:szCs w:val="20"/>
                <w:lang w:eastAsia="en-ZA"/>
              </w:rPr>
            </w:pPr>
            <w:r w:rsidRPr="00015440">
              <w:rPr>
                <w:rFonts w:ascii="Arial" w:eastAsia="Times New Roman" w:hAnsi="Arial" w:cs="Arial"/>
                <w:b/>
                <w:bCs/>
                <w:i/>
                <w:iCs/>
                <w:color w:val="000000"/>
                <w:sz w:val="20"/>
                <w:szCs w:val="20"/>
                <w:lang w:eastAsia="en-ZA"/>
              </w:rPr>
              <w:t>SEM</w:t>
            </w:r>
          </w:p>
        </w:tc>
      </w:tr>
      <w:tr w:rsidR="00015440" w:rsidRPr="00015440" w:rsidTr="00015440">
        <w:trPr>
          <w:trHeight w:val="255"/>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015440" w:rsidRPr="00015440" w:rsidRDefault="00015440" w:rsidP="00015440">
            <w:pPr>
              <w:jc w:val="center"/>
              <w:rPr>
                <w:rFonts w:ascii="Arial" w:eastAsia="Times New Roman" w:hAnsi="Arial" w:cs="Arial"/>
                <w:sz w:val="20"/>
                <w:szCs w:val="20"/>
                <w:lang w:eastAsia="en-ZA"/>
              </w:rPr>
            </w:pPr>
            <w:r w:rsidRPr="00015440">
              <w:rPr>
                <w:rFonts w:ascii="Arial" w:eastAsia="Times New Roman" w:hAnsi="Arial" w:cs="Arial"/>
                <w:sz w:val="20"/>
                <w:szCs w:val="20"/>
                <w:lang w:eastAsia="en-ZA"/>
              </w:rPr>
              <w:t>BX1</w:t>
            </w:r>
          </w:p>
        </w:tc>
        <w:tc>
          <w:tcPr>
            <w:tcW w:w="1040" w:type="dxa"/>
            <w:tcBorders>
              <w:righ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RIL165</w:t>
            </w:r>
          </w:p>
        </w:tc>
        <w:tc>
          <w:tcPr>
            <w:tcW w:w="1040" w:type="dxa"/>
            <w:tcBorders>
              <w:top w:val="single" w:sz="4" w:space="0" w:color="auto"/>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5,48</w:t>
            </w:r>
          </w:p>
        </w:tc>
        <w:tc>
          <w:tcPr>
            <w:tcW w:w="1040" w:type="dxa"/>
            <w:tcBorders>
              <w:top w:val="single" w:sz="4" w:space="0" w:color="auto"/>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1,39</w:t>
            </w:r>
          </w:p>
        </w:tc>
        <w:tc>
          <w:tcPr>
            <w:tcW w:w="1040" w:type="dxa"/>
            <w:tcBorders>
              <w:top w:val="single" w:sz="4" w:space="0" w:color="auto"/>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4,59</w:t>
            </w:r>
          </w:p>
        </w:tc>
        <w:tc>
          <w:tcPr>
            <w:tcW w:w="1040" w:type="dxa"/>
            <w:tcBorders>
              <w:top w:val="single" w:sz="4" w:space="0" w:color="auto"/>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2,75</w:t>
            </w:r>
          </w:p>
        </w:tc>
        <w:tc>
          <w:tcPr>
            <w:tcW w:w="1040" w:type="dxa"/>
            <w:tcBorders>
              <w:top w:val="single" w:sz="4" w:space="0" w:color="auto"/>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1,68</w:t>
            </w:r>
          </w:p>
        </w:tc>
        <w:tc>
          <w:tcPr>
            <w:tcW w:w="1040" w:type="dxa"/>
            <w:tcBorders>
              <w:top w:val="single" w:sz="4" w:space="0" w:color="auto"/>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0,37</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vMerge/>
            <w:hideMark/>
          </w:tcPr>
          <w:p w:rsidR="00015440" w:rsidRPr="00015440" w:rsidRDefault="00015440" w:rsidP="00015440">
            <w:pP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RIL387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6,78</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2,30</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0,67</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0,05</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0,33</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0,08</w:t>
            </w:r>
          </w:p>
        </w:tc>
      </w:tr>
      <w:tr w:rsidR="00015440" w:rsidRPr="00015440" w:rsidTr="00015440">
        <w:trPr>
          <w:trHeight w:val="255"/>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015440" w:rsidRPr="00015440" w:rsidRDefault="00015440" w:rsidP="00015440">
            <w:pPr>
              <w:jc w:val="center"/>
              <w:rPr>
                <w:rFonts w:ascii="Arial" w:eastAsia="Times New Roman" w:hAnsi="Arial" w:cs="Arial"/>
                <w:sz w:val="20"/>
                <w:szCs w:val="20"/>
                <w:lang w:eastAsia="en-ZA"/>
              </w:rPr>
            </w:pPr>
            <w:r w:rsidRPr="00015440">
              <w:rPr>
                <w:rFonts w:ascii="Arial" w:eastAsia="Times New Roman" w:hAnsi="Arial" w:cs="Arial"/>
                <w:sz w:val="20"/>
                <w:szCs w:val="20"/>
                <w:lang w:eastAsia="en-ZA"/>
              </w:rPr>
              <w:t>BX3</w:t>
            </w:r>
          </w:p>
        </w:tc>
        <w:tc>
          <w:tcPr>
            <w:tcW w:w="1040" w:type="dxa"/>
            <w:tcBorders>
              <w:righ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RIL165</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0,94</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0,09</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0,33</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0,04</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0,17</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0,01</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vMerge/>
            <w:hideMark/>
          </w:tcPr>
          <w:p w:rsidR="00015440" w:rsidRPr="00015440" w:rsidRDefault="00015440" w:rsidP="00015440">
            <w:pP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RIL387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11.17 *</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0,82</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4.13 *</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1,02</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2.51 *</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0,47</w:t>
            </w:r>
          </w:p>
        </w:tc>
      </w:tr>
      <w:tr w:rsidR="00015440" w:rsidRPr="00015440" w:rsidTr="00015440">
        <w:trPr>
          <w:trHeight w:val="255"/>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015440" w:rsidRPr="00015440" w:rsidRDefault="00015440" w:rsidP="00015440">
            <w:pPr>
              <w:jc w:val="center"/>
              <w:rPr>
                <w:rFonts w:ascii="Arial" w:eastAsia="Times New Roman" w:hAnsi="Arial" w:cs="Arial"/>
                <w:sz w:val="20"/>
                <w:szCs w:val="20"/>
                <w:lang w:eastAsia="en-ZA"/>
              </w:rPr>
            </w:pPr>
            <w:r w:rsidRPr="00015440">
              <w:rPr>
                <w:rFonts w:ascii="Arial" w:eastAsia="Times New Roman" w:hAnsi="Arial" w:cs="Arial"/>
                <w:sz w:val="20"/>
                <w:szCs w:val="20"/>
                <w:lang w:eastAsia="en-ZA"/>
              </w:rPr>
              <w:t>BX4</w:t>
            </w:r>
          </w:p>
        </w:tc>
        <w:tc>
          <w:tcPr>
            <w:tcW w:w="1040" w:type="dxa"/>
            <w:tcBorders>
              <w:righ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RIL165</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1,81</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0,82</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0,6</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0,10</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2,19</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0,64</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vMerge/>
            <w:hideMark/>
          </w:tcPr>
          <w:p w:rsidR="00015440" w:rsidRPr="00015440" w:rsidRDefault="00015440" w:rsidP="00015440">
            <w:pP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RIL387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1,43</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0,32</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1,41</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0,24</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0,89</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0,16</w:t>
            </w:r>
          </w:p>
        </w:tc>
      </w:tr>
      <w:tr w:rsidR="00015440" w:rsidRPr="00015440" w:rsidTr="00015440">
        <w:trPr>
          <w:trHeight w:val="255"/>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015440" w:rsidRPr="00015440" w:rsidRDefault="00015440" w:rsidP="00015440">
            <w:pPr>
              <w:jc w:val="center"/>
              <w:rPr>
                <w:rFonts w:ascii="Arial" w:eastAsia="Times New Roman" w:hAnsi="Arial" w:cs="Arial"/>
                <w:sz w:val="20"/>
                <w:szCs w:val="20"/>
                <w:lang w:eastAsia="en-ZA"/>
              </w:rPr>
            </w:pPr>
            <w:r w:rsidRPr="00015440">
              <w:rPr>
                <w:rFonts w:ascii="Arial" w:eastAsia="Times New Roman" w:hAnsi="Arial" w:cs="Arial"/>
                <w:sz w:val="20"/>
                <w:szCs w:val="20"/>
                <w:lang w:eastAsia="en-ZA"/>
              </w:rPr>
              <w:t>BX5</w:t>
            </w:r>
          </w:p>
        </w:tc>
        <w:tc>
          <w:tcPr>
            <w:tcW w:w="1040" w:type="dxa"/>
            <w:tcBorders>
              <w:righ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RIL165</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1,92</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1,03</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0,15</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0,03</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1,71</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0,88</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vMerge/>
            <w:hideMark/>
          </w:tcPr>
          <w:p w:rsidR="00015440" w:rsidRPr="00015440" w:rsidRDefault="00015440" w:rsidP="00015440">
            <w:pP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RIL387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6,25</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1,09</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2.45 *</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0,39</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1,66</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0,42</w:t>
            </w:r>
          </w:p>
        </w:tc>
      </w:tr>
      <w:tr w:rsidR="00015440" w:rsidRPr="00015440" w:rsidTr="00015440">
        <w:trPr>
          <w:trHeight w:val="255"/>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015440" w:rsidRPr="00015440" w:rsidRDefault="00015440" w:rsidP="00015440">
            <w:pPr>
              <w:jc w:val="center"/>
              <w:rPr>
                <w:rFonts w:ascii="Arial" w:eastAsia="Times New Roman" w:hAnsi="Arial" w:cs="Arial"/>
                <w:sz w:val="20"/>
                <w:szCs w:val="20"/>
                <w:lang w:eastAsia="en-ZA"/>
              </w:rPr>
            </w:pPr>
            <w:r w:rsidRPr="00015440">
              <w:rPr>
                <w:rFonts w:ascii="Arial" w:eastAsia="Times New Roman" w:hAnsi="Arial" w:cs="Arial"/>
                <w:sz w:val="20"/>
                <w:szCs w:val="20"/>
                <w:lang w:eastAsia="en-ZA"/>
              </w:rPr>
              <w:t>BX9</w:t>
            </w:r>
          </w:p>
        </w:tc>
        <w:tc>
          <w:tcPr>
            <w:tcW w:w="1040" w:type="dxa"/>
            <w:tcBorders>
              <w:righ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RIL165</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1,78</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0,02</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1,1</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0,03</w:t>
            </w:r>
          </w:p>
        </w:tc>
        <w:tc>
          <w:tcPr>
            <w:tcW w:w="1040" w:type="dxa"/>
            <w:tcBorders>
              <w:left w:val="single" w:sz="4" w:space="0" w:color="auto"/>
            </w:tcBorders>
            <w:hideMark/>
          </w:tcPr>
          <w:p w:rsidR="00015440" w:rsidRPr="00015440" w:rsidRDefault="00015440" w:rsidP="0001544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0,58</w:t>
            </w:r>
          </w:p>
        </w:tc>
        <w:tc>
          <w:tcPr>
            <w:tcW w:w="1040" w:type="dxa"/>
            <w:tcBorders>
              <w:right w:val="single" w:sz="4" w:space="0" w:color="auto"/>
            </w:tcBorders>
            <w:noWrap/>
            <w:hideMark/>
          </w:tcPr>
          <w:p w:rsidR="00015440" w:rsidRPr="00015440" w:rsidRDefault="00015440" w:rsidP="00015440">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0,14</w:t>
            </w:r>
          </w:p>
        </w:tc>
      </w:tr>
      <w:tr w:rsidR="00015440" w:rsidRPr="00015440" w:rsidTr="0001544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40" w:type="dxa"/>
            <w:vMerge/>
            <w:hideMark/>
          </w:tcPr>
          <w:p w:rsidR="00015440" w:rsidRPr="00015440" w:rsidRDefault="00015440" w:rsidP="00015440">
            <w:pPr>
              <w:rPr>
                <w:rFonts w:ascii="Arial" w:eastAsia="Times New Roman" w:hAnsi="Arial" w:cs="Arial"/>
                <w:sz w:val="20"/>
                <w:szCs w:val="20"/>
                <w:lang w:eastAsia="en-ZA"/>
              </w:rPr>
            </w:pPr>
          </w:p>
        </w:tc>
        <w:tc>
          <w:tcPr>
            <w:tcW w:w="1040" w:type="dxa"/>
            <w:tcBorders>
              <w:righ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RIL387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1,83</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0,14</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ZA"/>
              </w:rPr>
            </w:pPr>
            <w:r w:rsidRPr="00015440">
              <w:rPr>
                <w:rFonts w:ascii="Arial" w:eastAsia="Times New Roman" w:hAnsi="Arial" w:cs="Arial"/>
                <w:color w:val="000000"/>
                <w:sz w:val="20"/>
                <w:szCs w:val="20"/>
                <w:lang w:eastAsia="en-ZA"/>
              </w:rPr>
              <w:t>0,94</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0,07</w:t>
            </w:r>
          </w:p>
        </w:tc>
        <w:tc>
          <w:tcPr>
            <w:tcW w:w="1040" w:type="dxa"/>
            <w:tcBorders>
              <w:left w:val="single" w:sz="4" w:space="0" w:color="auto"/>
            </w:tcBorders>
            <w:hideMark/>
          </w:tcPr>
          <w:p w:rsidR="00015440" w:rsidRPr="00015440" w:rsidRDefault="00015440" w:rsidP="0001544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ZA"/>
              </w:rPr>
            </w:pPr>
            <w:r w:rsidRPr="00015440">
              <w:rPr>
                <w:rFonts w:ascii="Arial" w:eastAsia="Times New Roman" w:hAnsi="Arial" w:cs="Arial"/>
                <w:b/>
                <w:bCs/>
                <w:color w:val="000000"/>
                <w:sz w:val="20"/>
                <w:szCs w:val="20"/>
                <w:lang w:eastAsia="en-ZA"/>
              </w:rPr>
              <w:t>1.04 *</w:t>
            </w:r>
          </w:p>
        </w:tc>
        <w:tc>
          <w:tcPr>
            <w:tcW w:w="1040" w:type="dxa"/>
            <w:tcBorders>
              <w:right w:val="single" w:sz="4" w:space="0" w:color="auto"/>
            </w:tcBorders>
            <w:noWrap/>
            <w:hideMark/>
          </w:tcPr>
          <w:p w:rsidR="00015440" w:rsidRPr="00015440" w:rsidRDefault="00015440" w:rsidP="0001544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ZA"/>
              </w:rPr>
            </w:pPr>
            <w:r w:rsidRPr="00015440">
              <w:rPr>
                <w:rFonts w:ascii="Arial" w:eastAsia="Times New Roman" w:hAnsi="Arial" w:cs="Arial"/>
                <w:i/>
                <w:iCs/>
                <w:sz w:val="20"/>
                <w:szCs w:val="20"/>
                <w:lang w:eastAsia="en-ZA"/>
              </w:rPr>
              <w:t>0,04</w:t>
            </w:r>
          </w:p>
        </w:tc>
      </w:tr>
    </w:tbl>
    <w:p w:rsidR="00015440" w:rsidRDefault="00015440" w:rsidP="00015440">
      <w:pPr>
        <w:rPr>
          <w:b/>
          <w:bCs/>
        </w:rPr>
      </w:pPr>
    </w:p>
    <w:p w:rsidR="00015440" w:rsidRDefault="00015440" w:rsidP="00015440">
      <w:pPr>
        <w:rPr>
          <w:b/>
          <w:bCs/>
        </w:rPr>
      </w:pPr>
    </w:p>
    <w:p w:rsidR="00015440" w:rsidRPr="00015440" w:rsidRDefault="00015440" w:rsidP="00015440">
      <w:r w:rsidRPr="00015440">
        <w:rPr>
          <w:b/>
          <w:bCs/>
        </w:rPr>
        <w:t xml:space="preserve">Additional file 9: Biosynthesis of benzoxazinoids in maize </w:t>
      </w:r>
    </w:p>
    <w:p w:rsidR="00015440" w:rsidRDefault="00015440" w:rsidP="00015440">
      <w:pPr>
        <w:jc w:val="both"/>
      </w:pPr>
      <w:r>
        <w:rPr>
          <w:b/>
          <w:bCs/>
        </w:rPr>
        <w:t>Figure</w:t>
      </w:r>
      <w:r w:rsidRPr="00015440">
        <w:rPr>
          <w:b/>
          <w:bCs/>
        </w:rPr>
        <w:t xml:space="preserve">: </w:t>
      </w:r>
      <w:r w:rsidRPr="00015440">
        <w:t xml:space="preserve">The first committed step in the BX pathway is defined by the conversion of indole-3-glycerole phosphate (IGP) to indole by BX1 in the plastid (Frey et al., 1997). Thereafter, four successive oxygen atoms are introduced into the indole moiety within the </w:t>
      </w:r>
      <w:proofErr w:type="spellStart"/>
      <w:r w:rsidRPr="00015440">
        <w:t>microsomes</w:t>
      </w:r>
      <w:proofErr w:type="spellEnd"/>
      <w:r w:rsidRPr="00015440">
        <w:t xml:space="preserve"> by four distinct members of the CYP71 family of cytochrome P450 dependent monooxygenases (P450s); BX2 to BX5 (Frey et al., 1995). BX2 first catalyses the conversion of indole to indolin-2-one.  Thereafter indolin-2-one is transformed to 3-hydroxy-indolin-2-one by BX3. Subsequently 2-hydroxy-2-1,4-benzoxazin-3-one (HBOA) is produced by BX4 and finally HBOA is converted to DIBOA after N-hydroxylation effected by BX5. At this point, DIBOA is </w:t>
      </w:r>
      <w:proofErr w:type="spellStart"/>
      <w:r w:rsidRPr="00015440">
        <w:t>glucosidated</w:t>
      </w:r>
      <w:proofErr w:type="spellEnd"/>
      <w:r w:rsidRPr="00015440">
        <w:t xml:space="preserve"> by two serial UDP-glucosyltransferases (UGTs) BX8 and BX9 into DIBOA-glucoside within the cytosol (von Rad et al., 2001). The conversion of DIBOA-</w:t>
      </w:r>
      <w:proofErr w:type="spellStart"/>
      <w:r w:rsidRPr="00015440">
        <w:t>glc</w:t>
      </w:r>
      <w:proofErr w:type="spellEnd"/>
      <w:r w:rsidRPr="00015440">
        <w:t xml:space="preserve"> to inactive DIMBOA-</w:t>
      </w:r>
      <w:proofErr w:type="spellStart"/>
      <w:r w:rsidRPr="00015440">
        <w:t>glc</w:t>
      </w:r>
      <w:proofErr w:type="spellEnd"/>
      <w:r w:rsidRPr="00015440">
        <w:t xml:space="preserve"> is mediated by the cytosolic dioxygenase, BX6 (Frey et al., 2003) and a methyltransferase, </w:t>
      </w:r>
      <w:r w:rsidRPr="00015440">
        <w:lastRenderedPageBreak/>
        <w:t>BX7 (</w:t>
      </w:r>
      <w:proofErr w:type="spellStart"/>
      <w:r w:rsidRPr="00015440">
        <w:t>Jonczyk</w:t>
      </w:r>
      <w:proofErr w:type="spellEnd"/>
      <w:r w:rsidRPr="00015440">
        <w:t xml:space="preserve"> et al., 2008). DIMBOA-</w:t>
      </w:r>
      <w:proofErr w:type="spellStart"/>
      <w:r w:rsidRPr="00015440">
        <w:t>glc</w:t>
      </w:r>
      <w:proofErr w:type="spellEnd"/>
      <w:r w:rsidRPr="00015440">
        <w:t xml:space="preserve"> accumulates in the vacuole as an inactive, but stable, glucoside to prevent auto-toxicity (Frey et al., 2009).   </w:t>
      </w:r>
    </w:p>
    <w:p w:rsidR="00015440" w:rsidRPr="00015440" w:rsidRDefault="00015440" w:rsidP="00015440">
      <w:pPr>
        <w:jc w:val="both"/>
      </w:pPr>
      <w:r>
        <w:rPr>
          <w:b/>
          <w:bCs/>
        </w:rPr>
        <w:t>Table</w:t>
      </w:r>
      <w:r w:rsidRPr="00015440">
        <w:rPr>
          <w:b/>
          <w:bCs/>
        </w:rPr>
        <w:t>:</w:t>
      </w:r>
      <w:r w:rsidRPr="00015440">
        <w:t xml:space="preserve"> Expression profiles of </w:t>
      </w:r>
      <w:r w:rsidRPr="00015440">
        <w:rPr>
          <w:i/>
          <w:iCs/>
        </w:rPr>
        <w:t>Bx1</w:t>
      </w:r>
      <w:r w:rsidRPr="00015440">
        <w:t xml:space="preserve">, (GRMZM2G085381), </w:t>
      </w:r>
      <w:r w:rsidRPr="00015440">
        <w:rPr>
          <w:i/>
          <w:iCs/>
        </w:rPr>
        <w:t>Bx3</w:t>
      </w:r>
      <w:r w:rsidRPr="00015440">
        <w:t xml:space="preserve"> (GRMZM2G167549), </w:t>
      </w:r>
      <w:r w:rsidRPr="00015440">
        <w:rPr>
          <w:i/>
          <w:iCs/>
        </w:rPr>
        <w:t>Bx4</w:t>
      </w:r>
      <w:r w:rsidRPr="00015440">
        <w:t xml:space="preserve"> (GRMZM2G172491), </w:t>
      </w:r>
      <w:r w:rsidRPr="00015440">
        <w:rPr>
          <w:i/>
          <w:iCs/>
        </w:rPr>
        <w:t>Bx5</w:t>
      </w:r>
      <w:r w:rsidRPr="00015440">
        <w:t xml:space="preserve"> (GRMZM2G063756), and</w:t>
      </w:r>
      <w:r w:rsidRPr="00015440">
        <w:rPr>
          <w:i/>
          <w:iCs/>
        </w:rPr>
        <w:t xml:space="preserve"> Bx9</w:t>
      </w:r>
      <w:r w:rsidRPr="00015440">
        <w:t xml:space="preserve"> (GRMZM2G161335) in RIL165 compared to RIL387.  </w:t>
      </w:r>
      <w:r w:rsidR="00861EEC">
        <w:t xml:space="preserve">Primer sequences obtained from </w:t>
      </w:r>
      <w:r w:rsidR="00861EEC">
        <w:fldChar w:fldCharType="begin" w:fldLock="1"/>
      </w:r>
      <w:r w:rsidR="00861EEC">
        <w:instrText>ADDIN CSL_CITATION { "citationItems" : [ { "id" : "ITEM-1", "itemData" : { "DOI" : "10.1104/pp.111.180224", "ISSN" : "1532-2548", "PMID" : "21730199", "abstract" : "Benzoxazinoids (BXs), such as 2,4-dihydroxy-7-methoxy-2H-1,4-benzoxazin-3(4H)-one (DIMBOA), are secondary metabolites in grasses. The first step in BX biosynthesis converts indole-3-glycerol phosphate into indole. In maize (Zea mays), this reaction is catalyzed by either BENZOXAZINELESS1 (BX1) or INDOLE GLYCEROL PHOSPHATE LYASE (IGL). The Bx1 gene is under developmental control and is mainly responsible for BX production, whereas the Igl gene is inducible by stress signals, such as wounding, herbivory, or jasmonates. To determine the role of BXs in defense against aphids and fungi, we compared basal resistance between Bx1 wild-type and bx1 mutant lines in the igl mutant background, thereby preventing BX production from IGL. Compared to Bx1 wild-type plants, BX-deficient bx1 mutant plants allowed better development of the cereal aphid Rhopalosiphum padi, and were affected in penetration resistance against the fungus Setosphaeria turtica. At stages preceding major tissue disruption, R. padi and S. turtica elicited increased accumulation of DIMBOA-glucoside, DIMBOA, and 2-hydroxy-4,7-dimethoxy-1,4-benzoxazin-3-one-glucoside (HDMBOA-glc), which was most pronounced in apoplastic leaf extracts. Treatment with the defense elicitor chitosan similarly enhanced apoplastic accumulation of DIMBOA and HDMBOA-glc, but repressed transcription of genes controlling BX biosynthesis downstream of BX1. This repression was also obtained after treatment with the BX precursor indole and DIMBOA, but not with HDMBOA-glc. Furthermore, BX-deficient bx1 mutant lines deposited less chitosan-induced callose than Bx1 wild-type lines, whereas apoplast infiltration with DIMBOA, but not HDMBOA-glc, mimicked chitosan-induced callose. Hence, DIMBOA functions as a defense regulatory signal in maize innate immunity, which acts in addition to its well-characterized activity as a biocidal defense metabolite.", "author" : [ { "dropping-particle" : "", "family" : "Ahmad", "given" : "Shakoor", "non-dropping-particle" : "", "parse-names" : false, "suffix" : "" }, { "dropping-particle" : "", "family" : "Veyrat", "given" : "Nathalie", "non-dropping-particle" : "", "parse-names" : false, "suffix" : "" }, { "dropping-particle" : "", "family" : "Gordon-Weeks", "given" : "Ruth", "non-dropping-particle" : "", "parse-names" : false, "suffix" : "" }, { "dropping-particle" : "", "family" : "Zhang", "given" : "Yuhua", "non-dropping-particle" : "", "parse-names" : false, "suffix" : "" }, { "dropping-particle" : "", "family" : "Martin", "given" : "Janet", "non-dropping-particle" : "", "parse-names" : false, "suffix" : "" }, { "dropping-particle" : "", "family" : "Smart", "given" : "Lesley", "non-dropping-particle" : "", "parse-names" : false, "suffix" : "" }, { "dropping-particle" : "", "family" : "Glauser", "given" : "Ga\u00e9tan", "non-dropping-particle" : "", "parse-names" : false, "suffix" : "" }, { "dropping-particle" : "", "family" : "Erb", "given" : "Matthias", "non-dropping-particle" : "", "parse-names" : false, "suffix" : "" }, { "dropping-particle" : "", "family" : "Flors", "given" : "Victor", "non-dropping-particle" : "", "parse-names" : false, "suffix" : "" }, { "dropping-particle" : "", "family" : "Frey", "given" : "Monika", "non-dropping-particle" : "", "parse-names" : false, "suffix" : "" }, { "dropping-particle" : "", "family" : "Ton", "given" : "Jurriaan", "non-dropping-particle" : "", "parse-names" : false, "suffix" : "" } ], "container-title" : "Plant physiology", "id" : "ITEM-1", "issue" : "1", "issued" : { "date-parts" : [ [ "2011", "9" ] ] }, "page" : "317-27", "title" : "Benzoxazinoid metabolites regulate innate immunity against aphids and fungi in maize.", "type" : "article-journal", "volume" : "157" }, "uris" : [ "http://www.mendeley.com/documents/?uuid=0dae45c7-a498-4174-b3f5-23e05ad60c08" ] } ], "mendeley" : { "formattedCitation" : "(Ahmad et al., 2011)", "manualFormatting" : "Ahmad et al., 2011", "plainTextFormattedCitation" : "(Ahmad et al., 2011)", "previouslyFormattedCitation" : "(Ahmad et al., 2011)" }, "properties" : { "noteIndex" : 0 }, "schema" : "https://github.com/citation-style-language/schema/raw/master/csl-citation.json" }</w:instrText>
      </w:r>
      <w:r w:rsidR="00861EEC">
        <w:fldChar w:fldCharType="separate"/>
      </w:r>
      <w:r w:rsidR="00861EEC" w:rsidRPr="00861EEC">
        <w:rPr>
          <w:noProof/>
        </w:rPr>
        <w:t>Ahmad et al., 2011</w:t>
      </w:r>
      <w:r w:rsidR="00861EEC">
        <w:fldChar w:fldCharType="end"/>
      </w:r>
      <w:bookmarkStart w:id="0" w:name="_GoBack"/>
      <w:bookmarkEnd w:id="0"/>
      <w:r w:rsidR="00861EEC">
        <w:t xml:space="preserve">.  </w:t>
      </w:r>
      <w:r w:rsidRPr="00015440">
        <w:t xml:space="preserve">Relative expression analysis was performed in </w:t>
      </w:r>
      <w:proofErr w:type="spellStart"/>
      <w:r w:rsidRPr="00015440">
        <w:t>qBase</w:t>
      </w:r>
      <w:proofErr w:type="spellEnd"/>
      <w:r w:rsidRPr="00015440">
        <w:t>+ v2.6 (</w:t>
      </w:r>
      <w:proofErr w:type="spellStart"/>
      <w:r w:rsidRPr="00015440">
        <w:t>BioGazelle</w:t>
      </w:r>
      <w:proofErr w:type="spellEnd"/>
      <w:r w:rsidRPr="00015440">
        <w:t xml:space="preserve">, </w:t>
      </w:r>
      <w:proofErr w:type="spellStart"/>
      <w:r w:rsidRPr="00015440">
        <w:t>Zwijnaarde</w:t>
      </w:r>
      <w:proofErr w:type="spellEnd"/>
      <w:r w:rsidRPr="00015440">
        <w:t xml:space="preserve">, Belgium) and normalised to four reference genes </w:t>
      </w:r>
      <w:r w:rsidRPr="00015440">
        <w:rPr>
          <w:i/>
          <w:iCs/>
        </w:rPr>
        <w:t>viz. DNA directed RNA polymerase</w:t>
      </w:r>
      <w:r w:rsidRPr="00015440">
        <w:t xml:space="preserve"> (GRMZM2G034326); </w:t>
      </w:r>
      <w:proofErr w:type="spellStart"/>
      <w:r w:rsidRPr="00015440">
        <w:rPr>
          <w:i/>
          <w:iCs/>
        </w:rPr>
        <w:t>sr</w:t>
      </w:r>
      <w:proofErr w:type="spellEnd"/>
      <w:r w:rsidRPr="00015440">
        <w:rPr>
          <w:i/>
          <w:iCs/>
        </w:rPr>
        <w:t>-like RNA binding protein</w:t>
      </w:r>
      <w:r w:rsidRPr="00015440">
        <w:t xml:space="preserve"> gene (GRMZM2G127729), </w:t>
      </w:r>
      <w:proofErr w:type="spellStart"/>
      <w:r w:rsidRPr="00015440">
        <w:rPr>
          <w:i/>
          <w:iCs/>
        </w:rPr>
        <w:t>dag</w:t>
      </w:r>
      <w:proofErr w:type="spellEnd"/>
      <w:r w:rsidRPr="00015440">
        <w:rPr>
          <w:i/>
          <w:iCs/>
        </w:rPr>
        <w:t xml:space="preserve"> protein </w:t>
      </w:r>
      <w:r w:rsidRPr="00015440">
        <w:t xml:space="preserve">gene (GRMZM2G451729), and </w:t>
      </w:r>
      <w:r w:rsidRPr="00015440">
        <w:rPr>
          <w:i/>
          <w:iCs/>
        </w:rPr>
        <w:t>eukaryotic translation initiation factor</w:t>
      </w:r>
      <w:r w:rsidRPr="00015440">
        <w:t xml:space="preserve"> </w:t>
      </w:r>
      <w:r w:rsidRPr="00015440">
        <w:rPr>
          <w:i/>
          <w:iCs/>
        </w:rPr>
        <w:t>4e-2</w:t>
      </w:r>
      <w:r w:rsidRPr="00015440">
        <w:t xml:space="preserve"> gene (GRMZM2G445905). Gene expression that was significantly different between the lines are indicated in </w:t>
      </w:r>
      <w:r w:rsidRPr="00015440">
        <w:rPr>
          <w:b/>
          <w:bCs/>
        </w:rPr>
        <w:t>bold</w:t>
      </w:r>
      <w:r w:rsidRPr="00015440">
        <w:t xml:space="preserve"> font.  Average quantity, n =3 ±SEM; unpaired T-test, *P&lt;0.05.   </w:t>
      </w:r>
      <w:r w:rsidRPr="00015440">
        <w:rPr>
          <w:i/>
          <w:iCs/>
        </w:rPr>
        <w:t xml:space="preserve">Figure adapted from Frey M, </w:t>
      </w:r>
      <w:proofErr w:type="spellStart"/>
      <w:r w:rsidRPr="00015440">
        <w:rPr>
          <w:i/>
          <w:iCs/>
        </w:rPr>
        <w:t>Schullehner</w:t>
      </w:r>
      <w:proofErr w:type="spellEnd"/>
      <w:r w:rsidRPr="00015440">
        <w:rPr>
          <w:i/>
          <w:iCs/>
        </w:rPr>
        <w:t xml:space="preserve"> K, Dick R, </w:t>
      </w:r>
      <w:proofErr w:type="spellStart"/>
      <w:r w:rsidRPr="00015440">
        <w:rPr>
          <w:i/>
          <w:iCs/>
        </w:rPr>
        <w:t>Fiesselmann</w:t>
      </w:r>
      <w:proofErr w:type="spellEnd"/>
      <w:r w:rsidRPr="00015440">
        <w:rPr>
          <w:i/>
          <w:iCs/>
        </w:rPr>
        <w:t xml:space="preserve"> A, </w:t>
      </w:r>
      <w:proofErr w:type="spellStart"/>
      <w:r w:rsidRPr="00015440">
        <w:rPr>
          <w:i/>
          <w:iCs/>
        </w:rPr>
        <w:t>Gierl</w:t>
      </w:r>
      <w:proofErr w:type="spellEnd"/>
      <w:r w:rsidRPr="00015440">
        <w:rPr>
          <w:i/>
          <w:iCs/>
        </w:rPr>
        <w:t xml:space="preserve"> A: Benzoxazinoid biosynthesis, a model for evolution of secondary metabolic pathways in plants. </w:t>
      </w:r>
      <w:proofErr w:type="spellStart"/>
      <w:r w:rsidRPr="00015440">
        <w:rPr>
          <w:i/>
          <w:iCs/>
        </w:rPr>
        <w:t>Phytochemistry</w:t>
      </w:r>
      <w:proofErr w:type="spellEnd"/>
      <w:r w:rsidRPr="00015440">
        <w:rPr>
          <w:i/>
          <w:iCs/>
        </w:rPr>
        <w:t xml:space="preserve"> 2009, </w:t>
      </w:r>
      <w:r w:rsidRPr="00015440">
        <w:rPr>
          <w:b/>
          <w:bCs/>
          <w:i/>
          <w:iCs/>
        </w:rPr>
        <w:t>70</w:t>
      </w:r>
      <w:r w:rsidRPr="00015440">
        <w:rPr>
          <w:i/>
          <w:iCs/>
        </w:rPr>
        <w:t>:1645–1651.</w:t>
      </w:r>
    </w:p>
    <w:p w:rsidR="00B504AD" w:rsidRDefault="00B504AD"/>
    <w:sectPr w:rsidR="00B50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40"/>
    <w:rsid w:val="00015440"/>
    <w:rsid w:val="00861EEC"/>
    <w:rsid w:val="00B504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0D4A"/>
  <w15:chartTrackingRefBased/>
  <w15:docId w15:val="{4C9DB492-CE12-48F7-9E73-CA9581E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0154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1941">
      <w:bodyDiv w:val="1"/>
      <w:marLeft w:val="0"/>
      <w:marRight w:val="0"/>
      <w:marTop w:val="0"/>
      <w:marBottom w:val="0"/>
      <w:divBdr>
        <w:top w:val="none" w:sz="0" w:space="0" w:color="auto"/>
        <w:left w:val="none" w:sz="0" w:space="0" w:color="auto"/>
        <w:bottom w:val="none" w:sz="0" w:space="0" w:color="auto"/>
        <w:right w:val="none" w:sz="0" w:space="0" w:color="auto"/>
      </w:divBdr>
    </w:div>
    <w:div w:id="9363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52023-E211-4A10-8CD0-C2480E8F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2</cp:revision>
  <dcterms:created xsi:type="dcterms:W3CDTF">2017-05-07T12:57:00Z</dcterms:created>
  <dcterms:modified xsi:type="dcterms:W3CDTF">2017-06-08T19:02:00Z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http://www.zotero.org/styles/bmc-plant-biology</vt:lpwstr>
  </property>
  <property fmtid="{D5CDD505-2E9C-101B-9397-08002B2CF9AE}" pid="9" name="Mendeley Recent Style Name 3_1">
    <vt:lpwstr>BMC Plant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095b7517-11d2-3729-96bd-c0c6aa01327a</vt:lpwstr>
  </property>
  <property fmtid="{D5CDD505-2E9C-101B-9397-08002B2CF9AE}" pid="24" name="Mendeley Citation Style_1">
    <vt:lpwstr>http://www.zotero.org/styles/apa</vt:lpwstr>
  </property>
</Properties>
</file>