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b/>
          <w:color w:val="FF0000"/>
          <w:sz w:val="24"/>
          <w:szCs w:val="28"/>
        </w:rPr>
      </w:pP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8"/>
        </w:rPr>
        <w:t>Additional File 2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Metabolic engineering of </w:t>
      </w:r>
      <w:r w:rsidRPr="00F17CC3">
        <w:rPr>
          <w:rFonts w:ascii="Times New Roman" w:eastAsiaTheme="minorHAnsi" w:hAnsi="Times New Roman" w:cs="Times New Roman"/>
          <w:b/>
          <w:i/>
          <w:color w:val="FF0000"/>
          <w:sz w:val="24"/>
          <w:szCs w:val="24"/>
        </w:rPr>
        <w:t>Escherichia</w:t>
      </w: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 </w:t>
      </w:r>
      <w:r w:rsidRPr="00F17CC3">
        <w:rPr>
          <w:rFonts w:ascii="Times New Roman" w:eastAsiaTheme="minorHAnsi" w:hAnsi="Times New Roman" w:cs="Times New Roman"/>
          <w:b/>
          <w:i/>
          <w:color w:val="FF0000"/>
          <w:sz w:val="24"/>
          <w:szCs w:val="24"/>
        </w:rPr>
        <w:t>coli</w:t>
      </w: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 for production of mixed isoprenoid alcohols and their derivatives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</w:pP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Bakht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Zada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a,1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Chonglong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Wang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b,</w:t>
      </w:r>
      <w:r w:rsidR="00702E47"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1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Ji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-Bin Park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Seong-Hee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Jeong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Ju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-Eon Park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,</w:t>
      </w:r>
      <w:r w:rsidRPr="00F17CC3">
        <w:rPr>
          <w:color w:val="FF0000"/>
        </w:rPr>
        <w:t xml:space="preserve"> </w:t>
      </w:r>
      <w:proofErr w:type="spellStart"/>
      <w:r w:rsidRPr="00F17CC3">
        <w:rPr>
          <w:rFonts w:ascii="Times New Roman" w:eastAsia="Times New Roman" w:hAnsi="Times New Roman" w:cs="Times New Roman"/>
          <w:color w:val="FF0000"/>
          <w:sz w:val="24"/>
        </w:rPr>
        <w:t>Hawaibam</w:t>
      </w:r>
      <w:proofErr w:type="spellEnd"/>
      <w:r w:rsidRPr="00F17CC3">
        <w:rPr>
          <w:rFonts w:ascii="Times New Roman" w:eastAsia="Times New Roman" w:hAnsi="Times New Roman" w:cs="Times New Roman"/>
          <w:color w:val="FF0000"/>
          <w:sz w:val="24"/>
        </w:rPr>
        <w:t xml:space="preserve"> Birla </w:t>
      </w:r>
      <w:proofErr w:type="spellStart"/>
      <w:r w:rsidRPr="00F17CC3">
        <w:rPr>
          <w:rFonts w:ascii="Times New Roman" w:eastAsia="Times New Roman" w:hAnsi="Times New Roman" w:cs="Times New Roman"/>
          <w:color w:val="FF0000"/>
          <w:sz w:val="24"/>
        </w:rPr>
        <w:t>Singh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,</w:t>
      </w:r>
      <w:r w:rsidRPr="00F17CC3" w:rsidDel="00481E97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Seon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-Won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Kim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*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a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Division</w:t>
      </w:r>
      <w:proofErr w:type="spellEnd"/>
      <w:proofErr w:type="gram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of Applied Life Science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BK21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Plus Program),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PMBBRC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Gyeongsang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National University,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Jinju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660</w:t>
      </w:r>
      <w:r w:rsidRPr="00F17CC3">
        <w:rPr>
          <w:rFonts w:ascii="MS Mincho" w:eastAsia="MS Mincho" w:hAnsi="MS Mincho" w:cs="MS Mincho" w:hint="eastAsia"/>
          <w:color w:val="FF0000"/>
          <w:sz w:val="24"/>
          <w:szCs w:val="24"/>
        </w:rPr>
        <w:t>‑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701, Republic of Korea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t>b</w:t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School</w:t>
      </w:r>
      <w:proofErr w:type="spellEnd"/>
      <w:proofErr w:type="gram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of Biology and Basic Medical Sciences, Soochow University, Suzhou, People's Republic of China</w:t>
      </w:r>
    </w:p>
    <w:p w:rsidR="00565890" w:rsidRPr="00F17CC3" w:rsidRDefault="00565890" w:rsidP="00217476">
      <w:pPr>
        <w:spacing w:line="480" w:lineRule="auto"/>
        <w:ind w:firstLineChars="50" w:firstLine="120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proofErr w:type="spellStart"/>
      <w:r w:rsidRPr="00F17CC3">
        <w:rPr>
          <w:rFonts w:ascii="Times New Roman" w:eastAsia="SimSun" w:hAnsi="Times New Roman" w:cs="Times New Roman" w:hint="eastAsia"/>
          <w:color w:val="FF0000"/>
          <w:sz w:val="24"/>
          <w:szCs w:val="24"/>
          <w:vertAlign w:val="superscript"/>
          <w:lang w:eastAsia="zh-CN"/>
        </w:rPr>
        <w:t>1</w:t>
      </w:r>
      <w:r w:rsidRPr="00F17CC3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B</w:t>
      </w:r>
      <w:r w:rsidRPr="00F17CC3">
        <w:rPr>
          <w:rFonts w:ascii="Times New Roman" w:eastAsia="SimSun" w:hAnsi="Times New Roman" w:cs="Times New Roman" w:hint="eastAsia"/>
          <w:color w:val="FF0000"/>
          <w:sz w:val="24"/>
          <w:szCs w:val="24"/>
          <w:lang w:eastAsia="zh-CN"/>
        </w:rPr>
        <w:t>oth</w:t>
      </w:r>
      <w:proofErr w:type="spellEnd"/>
      <w:r w:rsidRPr="00F17CC3">
        <w:rPr>
          <w:rFonts w:ascii="Times New Roman" w:eastAsia="SimSun" w:hAnsi="Times New Roman" w:cs="Times New Roman" w:hint="eastAsia"/>
          <w:color w:val="FF0000"/>
          <w:sz w:val="24"/>
          <w:szCs w:val="24"/>
          <w:lang w:eastAsia="zh-CN"/>
        </w:rPr>
        <w:t xml:space="preserve"> authors contributed equally</w:t>
      </w:r>
      <w:r w:rsidRPr="00F17CC3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 xml:space="preserve"> to this work</w:t>
      </w:r>
      <w:r w:rsidRPr="00F17CC3">
        <w:rPr>
          <w:rFonts w:ascii="Times New Roman" w:eastAsia="SimSun" w:hAnsi="Times New Roman" w:cs="Times New Roman" w:hint="eastAsia"/>
          <w:color w:val="FF0000"/>
          <w:sz w:val="24"/>
          <w:szCs w:val="24"/>
          <w:lang w:eastAsia="zh-CN"/>
        </w:rPr>
        <w:t>.</w:t>
      </w:r>
    </w:p>
    <w:p w:rsidR="00565890" w:rsidRPr="00F17CC3" w:rsidRDefault="00565890" w:rsidP="00217476">
      <w:pPr>
        <w:spacing w:line="480" w:lineRule="auto"/>
        <w:ind w:firstLineChars="50" w:firstLine="120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E-mail: bakhtqau@gmail.com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B.Z.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), clwang@suda.edu.cn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C.W.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), </w:t>
      </w:r>
      <w:hyperlink r:id="rId6" w:history="1">
        <w:r w:rsidRPr="00F17CC3">
          <w:rPr>
            <w:rStyle w:val="Hyperlink"/>
            <w:rFonts w:ascii="Times New Roman" w:eastAsiaTheme="minorHAnsi" w:hAnsi="Times New Roman" w:cs="Times New Roman"/>
            <w:color w:val="FF0000"/>
            <w:sz w:val="24"/>
            <w:szCs w:val="24"/>
          </w:rPr>
          <w:t>jbjnas@hanmail.net</w:t>
        </w:r>
      </w:hyperlink>
    </w:p>
    <w:p w:rsidR="00565890" w:rsidRPr="00F17CC3" w:rsidRDefault="00565890" w:rsidP="00217476">
      <w:pPr>
        <w:spacing w:line="480" w:lineRule="auto"/>
        <w:ind w:firstLineChars="50" w:firstLine="120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J.B.P.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), </w:t>
      </w:r>
      <w:hyperlink r:id="rId7" w:history="1">
        <w:r w:rsidRPr="00F17CC3">
          <w:rPr>
            <w:rStyle w:val="Hyperlink"/>
            <w:rFonts w:ascii="Times New Roman" w:eastAsiaTheme="minorHAnsi" w:hAnsi="Times New Roman" w:cs="Times New Roman"/>
            <w:color w:val="FF0000"/>
            <w:sz w:val="24"/>
            <w:szCs w:val="24"/>
          </w:rPr>
          <w:t>jshe89@nate.com</w:t>
        </w:r>
      </w:hyperlink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S.H.J.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), </w:t>
      </w:r>
      <w:hyperlink r:id="rId8" w:history="1">
        <w:r w:rsidRPr="00F17CC3">
          <w:rPr>
            <w:rStyle w:val="Hyperlink"/>
            <w:rFonts w:ascii="Times New Roman" w:eastAsiaTheme="minorHAnsi" w:hAnsi="Times New Roman" w:cs="Times New Roman"/>
            <w:color w:val="FF0000"/>
            <w:sz w:val="24"/>
            <w:szCs w:val="24"/>
          </w:rPr>
          <w:t>parkwndjs@naver.com</w:t>
        </w:r>
      </w:hyperlink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J.E.P.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),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birla.hawaibam@gmail.com (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H.B.S.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)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  <w:vertAlign w:val="superscript"/>
        </w:rPr>
        <w:sym w:font="Symbol" w:char="F02A"/>
      </w: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Corresponding author: Prof.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Seon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-Won Kim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E-mail: swkim@gsnu.ac.kr (SW Kim), Tel.: +82 55 772 1362, Fax: +82 55 759 9363.</w:t>
      </w:r>
    </w:p>
    <w:p w:rsidR="00565890" w:rsidRPr="00F17CC3" w:rsidRDefault="00565890" w:rsidP="00217476">
      <w:pPr>
        <w:spacing w:line="480" w:lineRule="auto"/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br w:type="page"/>
      </w:r>
    </w:p>
    <w:p w:rsidR="00565890" w:rsidRPr="00F17CC3" w:rsidRDefault="00935519" w:rsidP="00217476">
      <w:pPr>
        <w:spacing w:line="480" w:lineRule="auto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>S3</w:t>
      </w:r>
      <w:proofErr w:type="spellEnd"/>
      <w:r w:rsidR="00565890"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>.</w:t>
      </w:r>
      <w:r w:rsidR="00565890"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Primers, plasmids, and bacterial strains used in this study</w:t>
      </w:r>
    </w:p>
    <w:p w:rsidR="00F20590" w:rsidRPr="00F17CC3" w:rsidRDefault="00F20590" w:rsidP="00217476">
      <w:pPr>
        <w:spacing w:line="480" w:lineRule="auto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</w:p>
    <w:p w:rsidR="00565890" w:rsidRPr="00F17CC3" w:rsidRDefault="00565890" w:rsidP="00217476">
      <w:pPr>
        <w:spacing w:line="480" w:lineRule="auto"/>
        <w:contextualSpacing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Figure </w:t>
      </w:r>
      <w:proofErr w:type="spellStart"/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>S</w:t>
      </w:r>
      <w:r w:rsidR="00935519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>6</w:t>
      </w:r>
      <w:proofErr w:type="spellEnd"/>
      <w:r w:rsidRPr="00F17CC3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GPP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FPP</w:t>
      </w:r>
      <w:proofErr w:type="spellEnd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hydrolyzing assay of </w:t>
      </w:r>
      <w:proofErr w:type="spellStart"/>
      <w:r w:rsidRPr="00F17CC3">
        <w:rPr>
          <w:rFonts w:ascii="Times New Roman" w:eastAsiaTheme="minorHAnsi" w:hAnsi="Times New Roman" w:cs="Times New Roman"/>
          <w:color w:val="FF0000"/>
          <w:sz w:val="24"/>
          <w:szCs w:val="24"/>
        </w:rPr>
        <w:t>NudB</w:t>
      </w:r>
      <w:proofErr w:type="spellEnd"/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13B27" w:rsidRPr="00F17CC3" w:rsidRDefault="00513B27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F20590" w:rsidRPr="00F17CC3" w:rsidRDefault="00F20590">
      <w:pPr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br w:type="page"/>
      </w:r>
    </w:p>
    <w:p w:rsidR="00BE63D2" w:rsidRPr="00F17CC3" w:rsidRDefault="00BE63D2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lastRenderedPageBreak/>
        <w:t xml:space="preserve">Preparation of </w:t>
      </w:r>
      <w:proofErr w:type="spellStart"/>
      <w:r w:rsidR="008C7B49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FPP</w:t>
      </w:r>
      <w:proofErr w:type="spellEnd"/>
      <w:r w:rsidR="00EF3D87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substrate</w:t>
      </w:r>
    </w:p>
    <w:p w:rsidR="00DB42DA" w:rsidRPr="00F17CC3" w:rsidRDefault="00BE63D2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In order to extract </w:t>
      </w:r>
      <w:r w:rsidR="00702E4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an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intracellular </w:t>
      </w:r>
      <w:proofErr w:type="spellStart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we </w:t>
      </w:r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transformed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E. coli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DH5α</w:t>
      </w:r>
      <w:proofErr w:type="spellEnd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with </w:t>
      </w:r>
      <w:proofErr w:type="spellStart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pSSN12Didi</w:t>
      </w:r>
      <w:proofErr w:type="spellEnd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pT-IspA</w:t>
      </w:r>
      <w:proofErr w:type="spellEnd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plasmids, which overexpress mevalonate bottom pathway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and </w:t>
      </w:r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farnesyl pyrophosphate synthase (</w:t>
      </w:r>
      <w:proofErr w:type="spellStart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IspA</w:t>
      </w:r>
      <w:proofErr w:type="spellEnd"/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), 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respectively, resulting in strain </w:t>
      </w:r>
      <w:proofErr w:type="spellStart"/>
      <w:r w:rsidR="00A4607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-FPP</w:t>
      </w:r>
      <w:proofErr w:type="spellEnd"/>
      <w:r w:rsidR="005566B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(Table 1)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8C7B4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single colony from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DH5-FPP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strain was inoculated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in 5 mL LB medium with appropriate antibiotics and grown overnight at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37°C</w:t>
      </w:r>
      <w:proofErr w:type="spellEnd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with shaking at 250 rpm. The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production culture was made by inoculating the overnight seed culture into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2YT</w:t>
      </w:r>
      <w:proofErr w:type="spellEnd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medium to an </w:t>
      </w:r>
      <w:r w:rsidR="00DC570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OD </w:t>
      </w:r>
      <w:r w:rsidR="00C75B9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of 0.1 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with </w:t>
      </w:r>
      <w:r w:rsidR="00C75B9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5 mM mevalonate, and 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2% (v/v) of glycerol as </w:t>
      </w:r>
      <w:r w:rsidR="00702E4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a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main carbon source. The cultur</w:t>
      </w:r>
      <w:r w:rsidR="00AE38F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e was initially induced with 0.2</w:t>
      </w:r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mM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IPTG</w:t>
      </w:r>
      <w:proofErr w:type="spellEnd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incubated for 36 h with 250 rpm shaking in a rotary shaker at </w:t>
      </w:r>
      <w:proofErr w:type="spellStart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30°C</w:t>
      </w:r>
      <w:proofErr w:type="spellEnd"/>
      <w:r w:rsidR="001D0B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C75B9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After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36 h </w:t>
      </w:r>
      <w:r w:rsidR="00C75B9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of incubation,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cells were harvested by centrifugation. The supernatant was discarded and the cells pellets were suspended in lysis buffer consisted of 2% glycerol,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0.1M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NaCl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0.025M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Tris-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HCl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(pH 8.0), and 0.2% triton X</w:t>
      </w:r>
      <w:r w:rsidR="0084163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-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100, and subsequently lysed by</w:t>
      </w:r>
      <w:r w:rsidR="00DC570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sonication</w:t>
      </w:r>
      <w:r w:rsidR="005D10F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to extract </w:t>
      </w:r>
      <w:proofErr w:type="spellStart"/>
      <w:r w:rsidR="005D10F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DC570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 T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he cell lysates were incubated at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65°C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for 30 min in order to inactivate the enzymes</w:t>
      </w:r>
      <w:r w:rsidR="00C75B9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BE63D2" w:rsidRPr="00F17CC3" w:rsidRDefault="0088128E" w:rsidP="00217476">
      <w:pPr>
        <w:shd w:val="clear" w:color="auto" w:fill="FFFFFF"/>
        <w:spacing w:after="0" w:line="480" w:lineRule="auto"/>
        <w:contextualSpacing/>
        <w:jc w:val="both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Q</w:t>
      </w:r>
      <w:r w:rsidR="00073341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uantification </w:t>
      </w:r>
      <w:r w:rsidR="00BE63D2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of </w:t>
      </w:r>
      <w:proofErr w:type="spellStart"/>
      <w:r w:rsidR="006A115D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FPP</w:t>
      </w:r>
      <w:proofErr w:type="spellEnd"/>
      <w:r w:rsidR="00966D0A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</w:t>
      </w: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extracted </w:t>
      </w:r>
      <w:r w:rsidR="00073341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from culture of </w:t>
      </w:r>
      <w:proofErr w:type="spellStart"/>
      <w:r w:rsidR="00073341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DH5-FPP</w:t>
      </w:r>
      <w:proofErr w:type="spellEnd"/>
      <w:r w:rsidR="00073341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strain</w:t>
      </w:r>
    </w:p>
    <w:p w:rsidR="00060A59" w:rsidRPr="00F17CC3" w:rsidRDefault="007C30A8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It has been reported that calf intestinal alkaline phosphatase (CIP) d</w:t>
      </w:r>
      <w:r w:rsidR="0091132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ephosphorylate</w:t>
      </w:r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s</w:t>
      </w:r>
      <w:r w:rsidR="0091132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1132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91132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to farnesol </w:t>
      </w:r>
      <w:r w:rsidR="006A626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begin"/>
      </w:r>
      <w:r w:rsidR="0091132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instrText xml:space="preserve"> ADDIN EN.CITE &lt;EndNote&gt;&lt;Cite&gt;&lt;Author&gt;Mackie&lt;/Author&gt;&lt;Year&gt;1977&lt;/Year&gt;&lt;RecNum&gt;429&lt;/RecNum&gt;&lt;DisplayText&gt;[1]&lt;/DisplayText&gt;&lt;record&gt;&lt;rec-number&gt;429&lt;/rec-number&gt;&lt;foreign-keys&gt;&lt;key app="EN" db-id="2z2z5rzxo5pxsger9t4xexfh9arrw2d0vxp5" timestamp="1527040126"&gt;429&lt;/key&gt;&lt;/foreign-keys&gt;&lt;ref-type name="Journal Article"&gt;17&lt;/ref-type&gt;&lt;contributors&gt;&lt;authors&gt;&lt;author&gt;Mackie, H.&lt;/author&gt;&lt;author&gt;Overton, K. H.&lt;/author&gt;&lt;/authors&gt;&lt;/contributors&gt;&lt;titles&gt;&lt;title&gt;Hydrolysis and isomerization of trans,trans-farnesyl diphosphate by Andrographis tissue-culture enzymes&lt;/title&gt;&lt;secondary-title&gt;Eur J Biochem&lt;/secondary-title&gt;&lt;/titles&gt;&lt;periodical&gt;&lt;full-title&gt;Eur J Biochem&lt;/full-title&gt;&lt;/periodical&gt;&lt;pages&gt;101-6&lt;/pages&gt;&lt;volume&gt;77&lt;/volume&gt;&lt;number&gt;1&lt;/number&gt;&lt;keywords&gt;&lt;keyword&gt;Alkaline Phosphatase/*metabolism&lt;/keyword&gt;&lt;keyword&gt;Carbon Radioisotopes&lt;/keyword&gt;&lt;keyword&gt;Cells, Cultured&lt;/keyword&gt;&lt;keyword&gt;Farnesol/*metabolism&lt;/keyword&gt;&lt;keyword&gt;Isomerases/*metabolism&lt;/keyword&gt;&lt;keyword&gt;Isotope Labeling&lt;/keyword&gt;&lt;keyword&gt;Organophosphorus Compounds/metabolism&lt;/keyword&gt;&lt;keyword&gt;Phosphoric Monoester Hydrolases/*metabolism&lt;/keyword&gt;&lt;keyword&gt;Plants/*enzymology&lt;/keyword&gt;&lt;keyword&gt;Tritium&lt;/keyword&gt;&lt;/keywords&gt;&lt;dates&gt;&lt;year&gt;1977&lt;/year&gt;&lt;pub-dates&gt;&lt;date&gt;Jul 1&lt;/date&gt;&lt;/pub-dates&gt;&lt;/dates&gt;&lt;isbn&gt;0014-2956 (Print)&amp;#xD;0014-2956 (Linking)&lt;/isbn&gt;&lt;accession-num&gt;198206&lt;/accession-num&gt;&lt;urls&gt;&lt;related-urls&gt;&lt;url&gt;https://www.ncbi.nlm.nih.gov/pubmed/198206&lt;/url&gt;&lt;/related-urls&gt;&lt;/urls&gt;&lt;/record&gt;&lt;/Cite&gt;&lt;/EndNote&gt;</w:instrText>
      </w:r>
      <w:r w:rsidR="006A626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separate"/>
      </w:r>
      <w:r w:rsidR="00911329" w:rsidRPr="00F17CC3">
        <w:rPr>
          <w:rFonts w:ascii="Times New Roman" w:eastAsia="Malgun Gothic" w:hAnsi="Times New Roman" w:cs="Times New Roman"/>
          <w:noProof/>
          <w:color w:val="FF0000"/>
          <w:sz w:val="24"/>
          <w:szCs w:val="24"/>
        </w:rPr>
        <w:t>[1]</w:t>
      </w:r>
      <w:r w:rsidR="006A626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end"/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021059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I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n order to </w:t>
      </w:r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quantify </w:t>
      </w:r>
      <w:proofErr w:type="spellStart"/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in the lysate of </w:t>
      </w:r>
      <w:proofErr w:type="spellStart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DH5-FPP</w:t>
      </w:r>
      <w:proofErr w:type="spellEnd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73341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culture</w:t>
      </w:r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we incubated </w:t>
      </w:r>
      <w:proofErr w:type="spellStart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1mL</w:t>
      </w:r>
      <w:proofErr w:type="spellEnd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lysate</w:t>
      </w:r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with CIP for 2 h at </w:t>
      </w:r>
      <w:proofErr w:type="spellStart"/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37°C</w:t>
      </w:r>
      <w:proofErr w:type="spellEnd"/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</w:t>
      </w:r>
      <w:r w:rsidR="006032A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After 2 h of incubation, t</w:t>
      </w:r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he reaction medium </w:t>
      </w:r>
      <w:r w:rsidR="00691C0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was extracted with decane</w:t>
      </w:r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and subsequently analyzed by GC-FID. In addition, </w:t>
      </w:r>
      <w:proofErr w:type="spellStart"/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1mL</w:t>
      </w:r>
      <w:proofErr w:type="spellEnd"/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of lysate from </w:t>
      </w:r>
      <w:proofErr w:type="spellStart"/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DH5-FPP</w:t>
      </w:r>
      <w:proofErr w:type="spellEnd"/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strain without CIP digestion was taken as control. 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By 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incubation of 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cell lysate with CIP</w:t>
      </w:r>
      <w:r w:rsidR="0085082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73.8 µM (16.4 mg/L) of farnesol</w:t>
      </w:r>
      <w:r w:rsidR="0085082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was obtained</w:t>
      </w:r>
      <w:r w:rsidR="00DC28B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</w:t>
      </w:r>
      <w:r w:rsidR="002E5DB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On the other hand</w:t>
      </w:r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no farnesol was detected in the </w:t>
      </w:r>
      <w:r w:rsidR="00A730A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control sample</w:t>
      </w:r>
      <w:r w:rsidR="00684D0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</w:t>
      </w:r>
      <w:r w:rsidR="002E5DB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without CIP digestion)</w:t>
      </w:r>
      <w:r w:rsidR="00546B9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DA706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T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he amount of farnesol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obtained from the CIP reaction could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directly reflect the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amount of </w:t>
      </w:r>
      <w:proofErr w:type="spellStart"/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present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in the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cell lysate</w:t>
      </w:r>
      <w:r w:rsidR="00B43F1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6032A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In order to get 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</w:t>
      </w:r>
      <w:r w:rsidR="006032A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lucrative</w:t>
      </w:r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amount of </w:t>
      </w:r>
      <w:proofErr w:type="spellStart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for </w:t>
      </w:r>
      <w:r w:rsidR="00B41F3A"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in vitro</w:t>
      </w:r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reaction of </w:t>
      </w:r>
      <w:proofErr w:type="spellStart"/>
      <w:r w:rsidR="00B41F3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="00202ED6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</w:t>
      </w:r>
      <w:r w:rsidR="009D155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cell lysate solution </w:t>
      </w:r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w</w:t>
      </w:r>
      <w:r w:rsidR="009D155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as</w:t>
      </w:r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9B48B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concentrated by</w:t>
      </w:r>
      <w:r w:rsidR="009D155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10-fold with use of</w:t>
      </w:r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vacuum concentrator (Concentrator plus </w:t>
      </w:r>
      <w:proofErr w:type="spellStart"/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Eppendorf</w:t>
      </w:r>
      <w:proofErr w:type="spellEnd"/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with in</w:t>
      </w:r>
      <w:r w:rsidR="009B48B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tegrated diaphragm vacuum pump). </w:t>
      </w:r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Th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e concentrated</w:t>
      </w:r>
      <w:r w:rsidR="00BE63D2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lysate was quantified 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to 725.4 µM (161.3 mg/L) of farnesol after the treatment of CIP.</w:t>
      </w:r>
    </w:p>
    <w:p w:rsidR="00C03B5C" w:rsidRPr="00F17CC3" w:rsidRDefault="00C03B5C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</w:p>
    <w:p w:rsidR="00060A59" w:rsidRPr="00F17CC3" w:rsidRDefault="00060A59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Preparation of cells lysates for </w:t>
      </w:r>
      <w:r w:rsidRPr="00F17CC3">
        <w:rPr>
          <w:rFonts w:ascii="Times New Roman" w:eastAsia="Malgun Gothic" w:hAnsi="Times New Roman" w:cs="Times New Roman"/>
          <w:b/>
          <w:i/>
          <w:color w:val="FF0000"/>
          <w:sz w:val="24"/>
          <w:szCs w:val="24"/>
        </w:rPr>
        <w:t>in vitro</w:t>
      </w: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reaction of </w:t>
      </w:r>
      <w:proofErr w:type="spellStart"/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NudB</w:t>
      </w:r>
      <w:proofErr w:type="spellEnd"/>
    </w:p>
    <w:p w:rsidR="00060A59" w:rsidRPr="00F17CC3" w:rsidRDefault="00060A59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To study the dephosphorylation activity of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toward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was overexpressed under 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strong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trc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promoter in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pT-NudB</w:t>
      </w:r>
      <w:proofErr w:type="spellEnd"/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plasmid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For construction of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pT-NudB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the DNA fragment of </w:t>
      </w:r>
      <w:proofErr w:type="spellStart"/>
      <w:r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was PCR amplified from the genomic DNA of </w:t>
      </w:r>
      <w:r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E. coli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MG1655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with primers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-F and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-R (Table 1), digested with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NcoI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SacI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and inserted between the corresponding restriction sites of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pTrc99A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The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pT-NudB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plasmid was transformed into </w:t>
      </w:r>
      <w:r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E. coli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DH5α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resulting in strain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(Table 1). Stain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</w:t>
      </w:r>
      <w:r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 xml:space="preserve">E. coli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DH5α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harboring empty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pTrc99A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vector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was taken as 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control (Table 1). A single colony from each individual strain was inoculated in 5 mL LB medium with appropriate antibiotics and grown overnight at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37°C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with shaking at 250 rpm. The overnight </w:t>
      </w:r>
      <w:proofErr w:type="gram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culture was further inoculated into fresh medium to an OD of 0.1 with 0.5 mM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IPTG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were</w:t>
      </w:r>
      <w:proofErr w:type="gram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grown for 12 h at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30°C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shaking at 250 rpm. After 12 h, culture from each strain with 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same density was pelleted by centrifugation at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4°C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 and was suspended in 1 mL lysis buffer containing 50 mM Tris-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HCl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(pH 8.0), 1 mM DTT, 1% glycerol, and 10 mM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NaCl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After the cells were lysed by sonication, the </w:t>
      </w:r>
      <w:r w:rsidR="00EF3D8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crude cell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lysates were used for </w:t>
      </w:r>
      <w:r w:rsidR="0088128E"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in vitro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reactions</w:t>
      </w:r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of </w:t>
      </w:r>
      <w:proofErr w:type="spellStart"/>
      <w:r w:rsidR="008812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</w:t>
      </w:r>
    </w:p>
    <w:p w:rsidR="009B48B0" w:rsidRPr="00F17CC3" w:rsidRDefault="009B48B0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</w:p>
    <w:p w:rsidR="00BE63D2" w:rsidRPr="00F17CC3" w:rsidRDefault="00B216A6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proofErr w:type="spellStart"/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GPP</w:t>
      </w:r>
      <w:proofErr w:type="spellEnd"/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="00BE63D2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FPP</w:t>
      </w:r>
      <w:proofErr w:type="spellEnd"/>
      <w:r w:rsidR="00BE63D2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hydrolyzing assay of </w:t>
      </w:r>
      <w:proofErr w:type="spellStart"/>
      <w:r w:rsidR="00BE63D2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NudB</w:t>
      </w:r>
      <w:proofErr w:type="spellEnd"/>
    </w:p>
    <w:p w:rsidR="00945525" w:rsidRPr="00F17CC3" w:rsidRDefault="00BE63D2" w:rsidP="00F20590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To verify the new promiscuous activity of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</w:t>
      </w:r>
      <w:r w:rsidR="00EF3D8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cell lysates from each individual strain, </w:t>
      </w:r>
      <w:proofErr w:type="spellStart"/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="00EA7FA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EA7FA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was incubated with </w:t>
      </w:r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either </w:t>
      </w:r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commercial </w:t>
      </w:r>
      <w:proofErr w:type="spellStart"/>
      <w:r w:rsidR="00EA7FA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EA7FA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5E474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obtained from Sigma (</w:t>
      </w:r>
      <w:proofErr w:type="spellStart"/>
      <w:r w:rsidR="005E474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CAS</w:t>
      </w:r>
      <w:proofErr w:type="spellEnd"/>
      <w:r w:rsidR="005E474A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Number 763-10-0) </w:t>
      </w:r>
      <w:r w:rsidR="00EA7FA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or </w:t>
      </w:r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crude </w:t>
      </w:r>
      <w:proofErr w:type="spellStart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achieved from culture of </w:t>
      </w:r>
      <w:proofErr w:type="spellStart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DH5-FPP</w:t>
      </w:r>
      <w:proofErr w:type="spellEnd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strain</w:t>
      </w:r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 where the cell lysates and the substrate (</w:t>
      </w:r>
      <w:proofErr w:type="spellStart"/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or </w:t>
      </w:r>
      <w:proofErr w:type="spellStart"/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3268B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) solutions were mixed in 1:1 volume ratio. </w:t>
      </w:r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After incubating for 1 h at </w:t>
      </w:r>
      <w:proofErr w:type="spellStart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37°C</w:t>
      </w:r>
      <w:proofErr w:type="spellEnd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the assay reactions were extracted with decane, and subsequently analyzed by GC-FID to quantify the amount of geraniol and farnesol generated from </w:t>
      </w:r>
      <w:proofErr w:type="spellStart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981EF8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 respectively.</w:t>
      </w:r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The </w:t>
      </w:r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cell lysate from </w:t>
      </w:r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strain </w:t>
      </w:r>
      <w:proofErr w:type="spellStart"/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overexpressing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produced </w:t>
      </w:r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a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significant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amount</w:t>
      </w:r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s</w:t>
      </w:r>
      <w:r w:rsidR="00422BD3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of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geraniol </w:t>
      </w:r>
      <w:r w:rsidR="00EF2DCC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(554.5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µM) </w:t>
      </w:r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and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farnesol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(305.2 µM) 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from </w:t>
      </w:r>
      <w:proofErr w:type="spellStart"/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(600.0 µM)</w:t>
      </w:r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0D011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(362.7 µM)</w:t>
      </w:r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 respectively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(Fig. </w:t>
      </w:r>
      <w:proofErr w:type="spellStart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S1</w:t>
      </w:r>
      <w:proofErr w:type="spellEnd"/>
      <w:r w:rsidR="00002225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)</w:t>
      </w:r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On the other hand, t</w:t>
      </w:r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he cell lysate from the control strain, </w:t>
      </w:r>
      <w:proofErr w:type="spellStart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produced a small amount of geraniol and farnesol from </w:t>
      </w:r>
      <w:proofErr w:type="spellStart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665014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, respectively. </w:t>
      </w:r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The results 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demonstrate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that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NudB</w:t>
      </w:r>
      <w:proofErr w:type="spellEnd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has </w:t>
      </w:r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a 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strong catalytic activity toward </w:t>
      </w:r>
      <w:proofErr w:type="spellStart"/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F9602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F20590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</w:t>
      </w:r>
      <w:r w:rsidR="00EF3D87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F20590" w:rsidRPr="00F17CC3" w:rsidRDefault="00F20590">
      <w:pPr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br w:type="page"/>
      </w:r>
    </w:p>
    <w:p w:rsidR="009D155A" w:rsidRPr="00F17CC3" w:rsidRDefault="00935519" w:rsidP="009D155A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Table </w:t>
      </w:r>
      <w:proofErr w:type="spellStart"/>
      <w:r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S3</w:t>
      </w:r>
      <w:proofErr w:type="spellEnd"/>
      <w:r w:rsidR="009D155A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. Primers, plasmids, and bacterial strains used in this study</w:t>
      </w:r>
      <w:r w:rsidR="00FE21D4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4"/>
        <w:gridCol w:w="6029"/>
        <w:gridCol w:w="1729"/>
      </w:tblGrid>
      <w:tr w:rsidR="00F17CC3" w:rsidRPr="00F17CC3" w:rsidTr="00B36BA8"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contextualSpacing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Names</w:t>
            </w:r>
          </w:p>
        </w:tc>
        <w:tc>
          <w:tcPr>
            <w:tcW w:w="6029" w:type="dxa"/>
            <w:tcBorders>
              <w:top w:val="single" w:sz="4" w:space="0" w:color="auto"/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contextualSpacing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Descriptions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contextualSpacing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References</w:t>
            </w:r>
          </w:p>
        </w:tc>
      </w:tr>
      <w:tr w:rsidR="00F17CC3" w:rsidRPr="00F17CC3" w:rsidTr="00B36BA8">
        <w:tc>
          <w:tcPr>
            <w:tcW w:w="1484" w:type="dxa"/>
            <w:tcBorders>
              <w:top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</w:p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Primers</w:t>
            </w:r>
          </w:p>
        </w:tc>
        <w:tc>
          <w:tcPr>
            <w:tcW w:w="6029" w:type="dxa"/>
            <w:tcBorders>
              <w:top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NudB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-F</w:t>
            </w:r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CATCCATGGTTTAAGAAGGAGATATACATATGAAGGATAAAGTGTATAAGCGTCC</w:t>
            </w:r>
            <w:proofErr w:type="spellEnd"/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NudB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-R</w:t>
            </w:r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CATGGAGCTCTTAGGCAGCGTTAATTACAAACTG</w:t>
            </w:r>
            <w:proofErr w:type="spellEnd"/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</w:p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Plasmids</w:t>
            </w:r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pSTV28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</w:t>
            </w: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  <w:vertAlign w:val="subscript"/>
              </w:rPr>
              <w:t>lac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expression vector,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pACYC184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origin,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lacZ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Cm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r</w:t>
            </w:r>
            <w:proofErr w:type="spellEnd"/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Takara Co., Ltd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pSSN12Didi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pSTV28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containing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mvaK1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mvaK2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and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mvaD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from </w:t>
            </w: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S. pneumoniae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and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idi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from </w:t>
            </w: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</w:p>
        </w:tc>
        <w:tc>
          <w:tcPr>
            <w:tcW w:w="1729" w:type="dxa"/>
          </w:tcPr>
          <w:p w:rsidR="009D155A" w:rsidRPr="00F17CC3" w:rsidRDefault="006A6260" w:rsidP="00EE08F0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fldChar w:fldCharType="begin"/>
            </w:r>
            <w:r w:rsidR="00EE08F0"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instrText xml:space="preserve"> ADDIN EN.CITE &lt;EndNote&gt;&lt;Cite&gt;&lt;Author&gt;Yoon&lt;/Author&gt;&lt;Year&gt;2006&lt;/Year&gt;&lt;RecNum&gt;433&lt;/RecNum&gt;&lt;DisplayText&gt;[2]&lt;/DisplayText&gt;&lt;record&gt;&lt;rec-number&gt;433&lt;/rec-number&gt;&lt;foreign-keys&gt;&lt;key app="EN" db-id="2z2z5rzxo5pxsger9t4xexfh9arrw2d0vxp5" timestamp="1527316420"&gt;433&lt;/key&gt;&lt;/foreign-keys&gt;&lt;ref-type name="Journal Article"&gt;17&lt;/ref-type&gt;&lt;contributors&gt;&lt;authors&gt;&lt;author&gt;Yoon, S. H.&lt;/author&gt;&lt;author&gt;Lee, Y. M.&lt;/author&gt;&lt;author&gt;Kim, J. E.&lt;/author&gt;&lt;author&gt;Lee, S. H.&lt;/author&gt;&lt;author&gt;Lee, J. H.&lt;/author&gt;&lt;author&gt;Kim, J. Y.&lt;/author&gt;&lt;author&gt;Jung, K. H.&lt;/author&gt;&lt;author&gt;Shin, Y. C.&lt;/author&gt;&lt;author&gt;Keasling, J. D.&lt;/author&gt;&lt;author&gt;Kim, S. W.&lt;/author&gt;&lt;/authors&gt;&lt;/contributors&gt;&lt;auth-address&gt;Department of Food Science &amp;amp; Nutrition, Gyeongsang National University, Jinju, Korea.&lt;/auth-address&gt;&lt;titles&gt;&lt;title&gt;Enhanced lycopene production in Escherichia coli engineered to synthesize isopentenyl diphosphate and dimethylallyl diphosphate from mevalonate&lt;/title&gt;&lt;secondary-title&gt;Biotechnol Bioeng&lt;/secondary-title&gt;&lt;/titles&gt;&lt;periodical&gt;&lt;full-title&gt;Biotechnol Bioeng&lt;/full-title&gt;&lt;/periodical&gt;&lt;pages&gt;1025-32&lt;/pages&gt;&lt;volume&gt;94&lt;/volume&gt;&lt;number&gt;6&lt;/number&gt;&lt;keywords&gt;&lt;keyword&gt;Carotenoids/*biosynthesis&lt;/keyword&gt;&lt;keyword&gt;Cell Culture Techniques/*methods&lt;/keyword&gt;&lt;keyword&gt;Cloning, Molecular&lt;/keyword&gt;&lt;keyword&gt;Escherichia coli/genetics/*metabolism&lt;/keyword&gt;&lt;keyword&gt;Genetic Enhancement/*methods&lt;/keyword&gt;&lt;keyword&gt;Hemiterpenes/*biosynthesis&lt;/keyword&gt;&lt;keyword&gt;Mevalonic Acid/*metabolism&lt;/keyword&gt;&lt;keyword&gt;Organophosphorus Compounds/*metabolism&lt;/keyword&gt;&lt;keyword&gt;Protein Engineering/methods&lt;/keyword&gt;&lt;keyword&gt;Recombinant Proteins/metabolism&lt;/keyword&gt;&lt;/keywords&gt;&lt;dates&gt;&lt;year&gt;2006&lt;/year&gt;&lt;pub-dates&gt;&lt;date&gt;Aug 20&lt;/date&gt;&lt;/pub-dates&gt;&lt;/dates&gt;&lt;isbn&gt;0006-3592 (Print)&amp;#xD;0006-3592 (Linking)&lt;/isbn&gt;&lt;accession-num&gt;16547999&lt;/accession-num&gt;&lt;urls&gt;&lt;related-urls&gt;&lt;url&gt;https://www.ncbi.nlm.nih.gov/pubmed/16547999&lt;/url&gt;&lt;/related-urls&gt;&lt;/urls&gt;&lt;electronic-resource-num&gt;10.1002/bit.20912&lt;/electronic-resource-num&gt;&lt;/record&gt;&lt;/Cite&gt;&lt;/EndNote&gt;</w:instrTex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fldChar w:fldCharType="separate"/>
            </w:r>
            <w:r w:rsidR="00EE08F0" w:rsidRPr="00F17CC3">
              <w:rPr>
                <w:rFonts w:ascii="Times New Roman" w:eastAsiaTheme="minorHAnsi" w:hAnsi="Times New Roman" w:cs="Times New Roman"/>
                <w:noProof/>
                <w:color w:val="FF0000"/>
                <w:sz w:val="16"/>
                <w:szCs w:val="16"/>
              </w:rPr>
              <w:t>[2]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fldChar w:fldCharType="end"/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pTrc99A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</w:t>
            </w: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  <w:vertAlign w:val="subscript"/>
              </w:rPr>
              <w:t>trc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expression vector,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pBR322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origin,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lacI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q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Amp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r</w:t>
            </w:r>
            <w:proofErr w:type="spellEnd"/>
          </w:p>
        </w:tc>
        <w:tc>
          <w:tcPr>
            <w:tcW w:w="1729" w:type="dxa"/>
          </w:tcPr>
          <w:p w:rsidR="009D155A" w:rsidRPr="00F17CC3" w:rsidRDefault="00EE08F0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Amersham Bioscience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pT-NudB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pTrc99A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vector containing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nudB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from </w:t>
            </w: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  <w:tr w:rsidR="00F17CC3" w:rsidRPr="00F17CC3" w:rsidTr="00B36BA8">
        <w:trPr>
          <w:gridAfter w:val="2"/>
          <w:wAfter w:w="7758" w:type="dxa"/>
        </w:trPr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</w:p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b/>
                <w:color w:val="FF0000"/>
                <w:sz w:val="16"/>
                <w:szCs w:val="16"/>
              </w:rPr>
              <w:t>Strains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DH5α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K-12; F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–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Φ80lacZΔM15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, Δ(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lacZYA-argF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)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U169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deoR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recA1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endA1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hsdR17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(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rK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–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, mK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+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)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phoA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supE44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, λ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>–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,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  <w:vertAlign w:val="superscript"/>
              </w:rPr>
              <w:t xml:space="preserve"> 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-1 </w:t>
            </w:r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ATCC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98040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DH5-FPP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DH5α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harboring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pSSN12Didi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and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pT-IspA</w:t>
            </w:r>
            <w:proofErr w:type="spellEnd"/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  <w:tr w:rsidR="00F17CC3" w:rsidRPr="00F17CC3" w:rsidTr="00B36BA8">
        <w:tc>
          <w:tcPr>
            <w:tcW w:w="1484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DH5-Trc</w:t>
            </w:r>
            <w:proofErr w:type="spellEnd"/>
          </w:p>
        </w:tc>
        <w:tc>
          <w:tcPr>
            <w:tcW w:w="60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DH5α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harboring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pTrc99A</w:t>
            </w:r>
            <w:proofErr w:type="spellEnd"/>
          </w:p>
        </w:tc>
        <w:tc>
          <w:tcPr>
            <w:tcW w:w="1729" w:type="dxa"/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  <w:tr w:rsidR="009D155A" w:rsidRPr="00F17CC3" w:rsidTr="00B36BA8">
        <w:tc>
          <w:tcPr>
            <w:tcW w:w="1484" w:type="dxa"/>
            <w:tcBorders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DH5-NudB</w:t>
            </w:r>
            <w:proofErr w:type="spellEnd"/>
          </w:p>
        </w:tc>
        <w:tc>
          <w:tcPr>
            <w:tcW w:w="6029" w:type="dxa"/>
            <w:tcBorders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i/>
                <w:color w:val="FF0000"/>
                <w:sz w:val="16"/>
                <w:szCs w:val="16"/>
              </w:rPr>
              <w:t>E. coli</w:t>
            </w: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DH5α</w:t>
            </w:r>
            <w:proofErr w:type="spellEnd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 xml:space="preserve"> harboring </w:t>
            </w:r>
            <w:proofErr w:type="spellStart"/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pT-NudB</w:t>
            </w:r>
            <w:proofErr w:type="spellEnd"/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9D155A" w:rsidRPr="00F17CC3" w:rsidRDefault="009D155A" w:rsidP="00B36BA8">
            <w:pPr>
              <w:spacing w:line="480" w:lineRule="auto"/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</w:pPr>
            <w:r w:rsidRPr="00F17CC3">
              <w:rPr>
                <w:rFonts w:ascii="Times New Roman" w:eastAsiaTheme="minorHAnsi" w:hAnsi="Times New Roman" w:cs="Times New Roman"/>
                <w:color w:val="FF0000"/>
                <w:sz w:val="16"/>
                <w:szCs w:val="16"/>
              </w:rPr>
              <w:t>This study</w:t>
            </w:r>
          </w:p>
        </w:tc>
      </w:tr>
    </w:tbl>
    <w:p w:rsidR="009D155A" w:rsidRPr="00F17CC3" w:rsidRDefault="009D155A" w:rsidP="009D155A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945525" w:rsidRPr="00F17CC3" w:rsidRDefault="00945525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F20590" w:rsidRPr="00F17CC3" w:rsidRDefault="00F20590">
      <w:pPr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br w:type="page"/>
      </w:r>
    </w:p>
    <w:p w:rsidR="002B58EB" w:rsidRPr="00F17CC3" w:rsidRDefault="00BE63D2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Figure </w:t>
      </w:r>
      <w:proofErr w:type="spellStart"/>
      <w:r w:rsidR="00945525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S</w:t>
      </w:r>
      <w:r w:rsidR="00935519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6</w:t>
      </w:r>
      <w:proofErr w:type="spellEnd"/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.</w:t>
      </w:r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GPP</w:t>
      </w:r>
      <w:proofErr w:type="spellEnd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FPP</w:t>
      </w:r>
      <w:proofErr w:type="spellEnd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 xml:space="preserve"> hydrolyzing assay of </w:t>
      </w:r>
      <w:proofErr w:type="spellStart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NudB</w:t>
      </w:r>
      <w:proofErr w:type="spellEnd"/>
      <w:r w:rsidR="0030666B"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.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(A)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Production</w:t>
      </w:r>
      <w:r w:rsidR="00ED12A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of geraniol from 600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.0</w:t>
      </w:r>
      <w:r w:rsidR="00ED12AF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71718E" w:rsidRPr="00F17CC3">
        <w:rPr>
          <w:rFonts w:ascii="Times New Roman" w:eastAsia="Malgun Gothic" w:hAnsi="Times New Roman" w:cs="Times New Roman" w:hint="eastAsia"/>
          <w:color w:val="FF0000"/>
          <w:sz w:val="24"/>
          <w:szCs w:val="24"/>
        </w:rPr>
        <w:t>µ</w:t>
      </w:r>
      <w:r w:rsidR="0071718E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M</w:t>
      </w:r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of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GPP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by cell lysates of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strains 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for</w:t>
      </w:r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1 h incubation </w:t>
      </w: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(B)</w:t>
      </w: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Production of farnesol from 362.7 </w:t>
      </w:r>
      <w:r w:rsidR="0030666B" w:rsidRPr="00F17CC3">
        <w:rPr>
          <w:rFonts w:ascii="Times New Roman" w:eastAsia="Malgun Gothic" w:hAnsi="Times New Roman" w:cs="Times New Roman" w:hint="eastAsia"/>
          <w:color w:val="FF0000"/>
          <w:sz w:val="24"/>
          <w:szCs w:val="24"/>
        </w:rPr>
        <w:t>µ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M of </w:t>
      </w:r>
      <w:proofErr w:type="spellStart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FPP</w:t>
      </w:r>
      <w:proofErr w:type="spellEnd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by cell lysates of </w:t>
      </w:r>
      <w:proofErr w:type="spellStart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strains for 1 h incubation</w:t>
      </w:r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. Strains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DH5-Trc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DH5-NudB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are </w:t>
      </w:r>
      <w:r w:rsidR="00DD108D" w:rsidRPr="00F17CC3">
        <w:rPr>
          <w:rFonts w:ascii="Times New Roman" w:eastAsia="Malgun Gothic" w:hAnsi="Times New Roman" w:cs="Times New Roman"/>
          <w:i/>
          <w:color w:val="FF0000"/>
          <w:sz w:val="24"/>
          <w:szCs w:val="24"/>
        </w:rPr>
        <w:t>E. coli</w:t>
      </w:r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DH5α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harboring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pTr</w:t>
      </w:r>
      <w:r w:rsidR="0030666B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c</w:t>
      </w:r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99A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pT-NudB</w:t>
      </w:r>
      <w:proofErr w:type="spellEnd"/>
      <w:r w:rsidR="00DD108D"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>, respectively.</w:t>
      </w:r>
    </w:p>
    <w:p w:rsidR="007460ED" w:rsidRPr="00F17CC3" w:rsidRDefault="007460ED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</w:p>
    <w:p w:rsidR="00C63B63" w:rsidRPr="00F17CC3" w:rsidRDefault="00C63B63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noProof/>
          <w:color w:val="FF0000"/>
          <w:sz w:val="24"/>
          <w:szCs w:val="24"/>
          <w:lang w:val="en-IN" w:eastAsia="en-IN"/>
        </w:rPr>
        <w:drawing>
          <wp:inline distT="0" distB="0" distL="0" distR="0">
            <wp:extent cx="5169408" cy="2785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dB characterization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EB" w:rsidRPr="00F17CC3" w:rsidRDefault="00BD1018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color w:val="FF0000"/>
          <w:sz w:val="24"/>
          <w:szCs w:val="24"/>
        </w:rPr>
        <w:t xml:space="preserve"> </w:t>
      </w:r>
    </w:p>
    <w:p w:rsidR="00911329" w:rsidRPr="00F17CC3" w:rsidRDefault="00911329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</w:p>
    <w:p w:rsidR="00507D6F" w:rsidRPr="00F17CC3" w:rsidRDefault="00507D6F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507D6F" w:rsidRPr="00F17CC3" w:rsidRDefault="00507D6F" w:rsidP="00217476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</w:p>
    <w:p w:rsidR="00F20590" w:rsidRPr="00F17CC3" w:rsidRDefault="00F20590">
      <w:pPr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F17CC3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br w:type="page"/>
      </w:r>
    </w:p>
    <w:p w:rsidR="00911329" w:rsidRPr="008A345D" w:rsidRDefault="00911329" w:rsidP="008A345D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b/>
          <w:color w:val="FF0000"/>
          <w:sz w:val="24"/>
          <w:szCs w:val="24"/>
        </w:rPr>
      </w:pPr>
      <w:r w:rsidRPr="008A345D">
        <w:rPr>
          <w:rFonts w:ascii="Times New Roman" w:eastAsia="Malgun Gothic" w:hAnsi="Times New Roman" w:cs="Times New Roman"/>
          <w:b/>
          <w:color w:val="FF0000"/>
          <w:sz w:val="24"/>
          <w:szCs w:val="24"/>
        </w:rPr>
        <w:t>References</w:t>
      </w:r>
    </w:p>
    <w:p w:rsidR="00EE08F0" w:rsidRPr="008A345D" w:rsidRDefault="006A6260" w:rsidP="008A345D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color w:val="FF0000"/>
        </w:rPr>
      </w:pPr>
      <w:r w:rsidRPr="008A345D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begin"/>
      </w:r>
      <w:r w:rsidR="00911329" w:rsidRPr="008A345D">
        <w:rPr>
          <w:rFonts w:ascii="Times New Roman" w:eastAsia="Malgun Gothic" w:hAnsi="Times New Roman" w:cs="Times New Roman"/>
          <w:color w:val="FF0000"/>
          <w:sz w:val="24"/>
          <w:szCs w:val="24"/>
        </w:rPr>
        <w:instrText xml:space="preserve"> ADDIN EN.REFLIST </w:instrText>
      </w:r>
      <w:r w:rsidRPr="008A345D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separate"/>
      </w:r>
      <w:r w:rsidR="00EE08F0" w:rsidRPr="008A345D">
        <w:rPr>
          <w:rFonts w:ascii="Times New Roman" w:hAnsi="Times New Roman" w:cs="Times New Roman"/>
          <w:color w:val="FF0000"/>
        </w:rPr>
        <w:t>1.</w:t>
      </w:r>
      <w:r w:rsidR="00EE08F0" w:rsidRPr="008A345D">
        <w:rPr>
          <w:rFonts w:ascii="Times New Roman" w:hAnsi="Times New Roman" w:cs="Times New Roman"/>
          <w:color w:val="FF0000"/>
        </w:rPr>
        <w:tab/>
        <w:t xml:space="preserve">Mackie H, Overton KH: </w:t>
      </w:r>
      <w:r w:rsidR="00EE08F0" w:rsidRPr="008A345D">
        <w:rPr>
          <w:rFonts w:ascii="Times New Roman" w:hAnsi="Times New Roman" w:cs="Times New Roman"/>
          <w:b/>
          <w:color w:val="FF0000"/>
        </w:rPr>
        <w:t>Hydrolysis and isomerization of trans,trans-farnesyl diphosphate by Andrographis tissue-culture enzymes</w:t>
      </w:r>
      <w:r w:rsidR="00EE08F0" w:rsidRPr="008A345D">
        <w:rPr>
          <w:rFonts w:ascii="Times New Roman" w:hAnsi="Times New Roman" w:cs="Times New Roman"/>
          <w:color w:val="FF0000"/>
        </w:rPr>
        <w:t xml:space="preserve">. </w:t>
      </w:r>
      <w:r w:rsidR="00EE08F0" w:rsidRPr="008A345D">
        <w:rPr>
          <w:rFonts w:ascii="Times New Roman" w:hAnsi="Times New Roman" w:cs="Times New Roman"/>
          <w:i/>
          <w:color w:val="FF0000"/>
        </w:rPr>
        <w:t xml:space="preserve">Eur J Biochem </w:t>
      </w:r>
      <w:r w:rsidR="00EE08F0" w:rsidRPr="008A345D">
        <w:rPr>
          <w:rFonts w:ascii="Times New Roman" w:hAnsi="Times New Roman" w:cs="Times New Roman"/>
          <w:color w:val="FF0000"/>
        </w:rPr>
        <w:t xml:space="preserve">1977, </w:t>
      </w:r>
      <w:r w:rsidR="00EE08F0" w:rsidRPr="008A345D">
        <w:rPr>
          <w:rFonts w:ascii="Times New Roman" w:hAnsi="Times New Roman" w:cs="Times New Roman"/>
          <w:b/>
          <w:color w:val="FF0000"/>
        </w:rPr>
        <w:t>77</w:t>
      </w:r>
      <w:r w:rsidR="00EE08F0" w:rsidRPr="008A345D">
        <w:rPr>
          <w:rFonts w:ascii="Times New Roman" w:hAnsi="Times New Roman" w:cs="Times New Roman"/>
          <w:color w:val="FF0000"/>
        </w:rPr>
        <w:t>(1):101-106.</w:t>
      </w:r>
    </w:p>
    <w:p w:rsidR="00EE08F0" w:rsidRPr="008A345D" w:rsidRDefault="00EE08F0" w:rsidP="008A345D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color w:val="FF0000"/>
        </w:rPr>
      </w:pPr>
      <w:r w:rsidRPr="008A345D">
        <w:rPr>
          <w:rFonts w:ascii="Times New Roman" w:hAnsi="Times New Roman" w:cs="Times New Roman"/>
          <w:color w:val="FF0000"/>
        </w:rPr>
        <w:t>2.</w:t>
      </w:r>
      <w:r w:rsidRPr="008A345D">
        <w:rPr>
          <w:rFonts w:ascii="Times New Roman" w:hAnsi="Times New Roman" w:cs="Times New Roman"/>
          <w:color w:val="FF0000"/>
        </w:rPr>
        <w:tab/>
        <w:t xml:space="preserve">Yoon SH, Lee YM, Kim JE, Lee SH, Lee JH, Kim JY, Jung KH, Shin YC, Keasling JD, Kim SW: </w:t>
      </w:r>
      <w:r w:rsidRPr="008A345D">
        <w:rPr>
          <w:rFonts w:ascii="Times New Roman" w:hAnsi="Times New Roman" w:cs="Times New Roman"/>
          <w:b/>
          <w:color w:val="FF0000"/>
        </w:rPr>
        <w:t>Enhanced lycopene prod</w:t>
      </w:r>
      <w:bookmarkStart w:id="0" w:name="_GoBack"/>
      <w:bookmarkEnd w:id="0"/>
      <w:r w:rsidRPr="008A345D">
        <w:rPr>
          <w:rFonts w:ascii="Times New Roman" w:hAnsi="Times New Roman" w:cs="Times New Roman"/>
          <w:b/>
          <w:color w:val="FF0000"/>
        </w:rPr>
        <w:t>uction in Escherichia coli engineered to synthesize isopentenyl diphosphate and dimethylallyl diphosphate from mevalonate</w:t>
      </w:r>
      <w:r w:rsidRPr="008A345D">
        <w:rPr>
          <w:rFonts w:ascii="Times New Roman" w:hAnsi="Times New Roman" w:cs="Times New Roman"/>
          <w:color w:val="FF0000"/>
        </w:rPr>
        <w:t xml:space="preserve">. </w:t>
      </w:r>
      <w:r w:rsidRPr="008A345D">
        <w:rPr>
          <w:rFonts w:ascii="Times New Roman" w:hAnsi="Times New Roman" w:cs="Times New Roman"/>
          <w:i/>
          <w:color w:val="FF0000"/>
        </w:rPr>
        <w:t xml:space="preserve">Biotechnol Bioeng </w:t>
      </w:r>
      <w:r w:rsidRPr="008A345D">
        <w:rPr>
          <w:rFonts w:ascii="Times New Roman" w:hAnsi="Times New Roman" w:cs="Times New Roman"/>
          <w:color w:val="FF0000"/>
        </w:rPr>
        <w:t xml:space="preserve">2006, </w:t>
      </w:r>
      <w:r w:rsidRPr="008A345D">
        <w:rPr>
          <w:rFonts w:ascii="Times New Roman" w:hAnsi="Times New Roman" w:cs="Times New Roman"/>
          <w:b/>
          <w:color w:val="FF0000"/>
        </w:rPr>
        <w:t>94</w:t>
      </w:r>
      <w:r w:rsidRPr="008A345D">
        <w:rPr>
          <w:rFonts w:ascii="Times New Roman" w:hAnsi="Times New Roman" w:cs="Times New Roman"/>
          <w:color w:val="FF0000"/>
        </w:rPr>
        <w:t>(6):1025-1032.</w:t>
      </w:r>
    </w:p>
    <w:p w:rsidR="00B216A6" w:rsidRPr="00F17CC3" w:rsidRDefault="006A6260" w:rsidP="008A345D">
      <w:pPr>
        <w:shd w:val="clear" w:color="auto" w:fill="FFFFFF"/>
        <w:spacing w:after="0" w:line="480" w:lineRule="auto"/>
        <w:contextualSpacing/>
        <w:jc w:val="both"/>
        <w:rPr>
          <w:rFonts w:ascii="Times New Roman" w:eastAsia="Malgun Gothic" w:hAnsi="Times New Roman" w:cs="Times New Roman"/>
          <w:color w:val="FF0000"/>
          <w:sz w:val="24"/>
          <w:szCs w:val="24"/>
        </w:rPr>
      </w:pPr>
      <w:r w:rsidRPr="008A345D">
        <w:rPr>
          <w:rFonts w:ascii="Times New Roman" w:eastAsia="Malgun Gothic" w:hAnsi="Times New Roman" w:cs="Times New Roman"/>
          <w:color w:val="FF0000"/>
          <w:sz w:val="24"/>
          <w:szCs w:val="24"/>
        </w:rPr>
        <w:fldChar w:fldCharType="end"/>
      </w:r>
    </w:p>
    <w:sectPr w:rsidR="00B216A6" w:rsidRPr="00F17CC3" w:rsidSect="00A20048">
      <w:footerReference w:type="default" r:id="rId10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1F9" w:rsidRDefault="000741F9" w:rsidP="00DB42DA">
      <w:pPr>
        <w:spacing w:after="0" w:line="240" w:lineRule="auto"/>
      </w:pPr>
      <w:r>
        <w:separator/>
      </w:r>
    </w:p>
  </w:endnote>
  <w:endnote w:type="continuationSeparator" w:id="0">
    <w:p w:rsidR="000741F9" w:rsidRDefault="000741F9" w:rsidP="00DB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114035"/>
      <w:docPartObj>
        <w:docPartGallery w:val="Page Numbers (Bottom of Page)"/>
        <w:docPartUnique/>
      </w:docPartObj>
    </w:sdtPr>
    <w:sdtContent>
      <w:p w:rsidR="00DB42DA" w:rsidRDefault="006A6260">
        <w:pPr>
          <w:pStyle w:val="Footer"/>
          <w:jc w:val="center"/>
        </w:pPr>
        <w:r>
          <w:fldChar w:fldCharType="begin"/>
        </w:r>
        <w:r w:rsidR="00DB42DA">
          <w:instrText>PAGE   \* MERGEFORMAT</w:instrText>
        </w:r>
        <w:r>
          <w:fldChar w:fldCharType="separate"/>
        </w:r>
        <w:r w:rsidR="00E974B4" w:rsidRPr="00E974B4">
          <w:rPr>
            <w:noProof/>
            <w:lang w:val="ko-KR"/>
          </w:rPr>
          <w:t>8</w:t>
        </w:r>
        <w:r>
          <w:fldChar w:fldCharType="end"/>
        </w:r>
      </w:p>
    </w:sdtContent>
  </w:sdt>
  <w:p w:rsidR="00DB42DA" w:rsidRDefault="00DB42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1F9" w:rsidRDefault="000741F9" w:rsidP="00DB42DA">
      <w:pPr>
        <w:spacing w:after="0" w:line="240" w:lineRule="auto"/>
      </w:pPr>
      <w:r>
        <w:separator/>
      </w:r>
    </w:p>
  </w:footnote>
  <w:footnote w:type="continuationSeparator" w:id="0">
    <w:p w:rsidR="000741F9" w:rsidRDefault="000741F9" w:rsidP="00DB4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z2z5rzxo5pxsger9t4xexfh9arrw2d0vxp5&quot;&gt;My EndNote Library&lt;record-ids&gt;&lt;item&gt;429&lt;/item&gt;&lt;item&gt;433&lt;/item&gt;&lt;/record-ids&gt;&lt;/item&gt;&lt;/Libraries&gt;"/>
  </w:docVars>
  <w:rsids>
    <w:rsidRoot w:val="0085172B"/>
    <w:rsid w:val="00002225"/>
    <w:rsid w:val="00014131"/>
    <w:rsid w:val="00021059"/>
    <w:rsid w:val="0004287D"/>
    <w:rsid w:val="00052478"/>
    <w:rsid w:val="00054024"/>
    <w:rsid w:val="00057954"/>
    <w:rsid w:val="00060A59"/>
    <w:rsid w:val="00073341"/>
    <w:rsid w:val="000741F9"/>
    <w:rsid w:val="000858FA"/>
    <w:rsid w:val="000A069B"/>
    <w:rsid w:val="000C5207"/>
    <w:rsid w:val="000C7429"/>
    <w:rsid w:val="000D011F"/>
    <w:rsid w:val="001140EF"/>
    <w:rsid w:val="00176D7F"/>
    <w:rsid w:val="001931F1"/>
    <w:rsid w:val="00196C12"/>
    <w:rsid w:val="001D03FD"/>
    <w:rsid w:val="001D0B8D"/>
    <w:rsid w:val="001D26B0"/>
    <w:rsid w:val="001F5342"/>
    <w:rsid w:val="00202ED6"/>
    <w:rsid w:val="00215512"/>
    <w:rsid w:val="00217476"/>
    <w:rsid w:val="00223299"/>
    <w:rsid w:val="00226DB1"/>
    <w:rsid w:val="00234118"/>
    <w:rsid w:val="00294B6A"/>
    <w:rsid w:val="0029500E"/>
    <w:rsid w:val="002A11C0"/>
    <w:rsid w:val="002B58EB"/>
    <w:rsid w:val="002E5DB8"/>
    <w:rsid w:val="002E71A4"/>
    <w:rsid w:val="0030666B"/>
    <w:rsid w:val="00314858"/>
    <w:rsid w:val="003268B3"/>
    <w:rsid w:val="00332256"/>
    <w:rsid w:val="0034233C"/>
    <w:rsid w:val="00370C11"/>
    <w:rsid w:val="003956E2"/>
    <w:rsid w:val="003A2FC3"/>
    <w:rsid w:val="003A5BA2"/>
    <w:rsid w:val="003B3F6F"/>
    <w:rsid w:val="003E1DAD"/>
    <w:rsid w:val="003E2CBC"/>
    <w:rsid w:val="003E52FA"/>
    <w:rsid w:val="00401701"/>
    <w:rsid w:val="00404194"/>
    <w:rsid w:val="00404483"/>
    <w:rsid w:val="00422BD3"/>
    <w:rsid w:val="00426C5D"/>
    <w:rsid w:val="00441AD3"/>
    <w:rsid w:val="00464428"/>
    <w:rsid w:val="00475B8F"/>
    <w:rsid w:val="0049488C"/>
    <w:rsid w:val="004A31F8"/>
    <w:rsid w:val="004A7E3C"/>
    <w:rsid w:val="004C2FB1"/>
    <w:rsid w:val="004E2FAE"/>
    <w:rsid w:val="00507D6F"/>
    <w:rsid w:val="00513B27"/>
    <w:rsid w:val="0052712C"/>
    <w:rsid w:val="00546B9C"/>
    <w:rsid w:val="0055228F"/>
    <w:rsid w:val="005566BD"/>
    <w:rsid w:val="005602BE"/>
    <w:rsid w:val="00565890"/>
    <w:rsid w:val="00580642"/>
    <w:rsid w:val="00582202"/>
    <w:rsid w:val="005A51A2"/>
    <w:rsid w:val="005B19B5"/>
    <w:rsid w:val="005D10F5"/>
    <w:rsid w:val="005E474A"/>
    <w:rsid w:val="005F49E4"/>
    <w:rsid w:val="006032A2"/>
    <w:rsid w:val="00664F45"/>
    <w:rsid w:val="00665014"/>
    <w:rsid w:val="00684D0B"/>
    <w:rsid w:val="00691C0E"/>
    <w:rsid w:val="006923E0"/>
    <w:rsid w:val="006A115D"/>
    <w:rsid w:val="006A6260"/>
    <w:rsid w:val="006B6113"/>
    <w:rsid w:val="006F04E5"/>
    <w:rsid w:val="00702E47"/>
    <w:rsid w:val="0071718E"/>
    <w:rsid w:val="007460ED"/>
    <w:rsid w:val="007519FB"/>
    <w:rsid w:val="007649BB"/>
    <w:rsid w:val="007667C7"/>
    <w:rsid w:val="0077387C"/>
    <w:rsid w:val="00785DC8"/>
    <w:rsid w:val="007970F1"/>
    <w:rsid w:val="007A0CCD"/>
    <w:rsid w:val="007B7C93"/>
    <w:rsid w:val="007C30A8"/>
    <w:rsid w:val="007C398F"/>
    <w:rsid w:val="007C4EC2"/>
    <w:rsid w:val="007D0591"/>
    <w:rsid w:val="00801F9D"/>
    <w:rsid w:val="00836E0D"/>
    <w:rsid w:val="00841631"/>
    <w:rsid w:val="0085082F"/>
    <w:rsid w:val="0085172B"/>
    <w:rsid w:val="0086039F"/>
    <w:rsid w:val="00866105"/>
    <w:rsid w:val="00866E11"/>
    <w:rsid w:val="0088128E"/>
    <w:rsid w:val="00887C10"/>
    <w:rsid w:val="008A345D"/>
    <w:rsid w:val="008C18D7"/>
    <w:rsid w:val="008C52E1"/>
    <w:rsid w:val="008C7B49"/>
    <w:rsid w:val="008D65E8"/>
    <w:rsid w:val="008F6DA8"/>
    <w:rsid w:val="00911329"/>
    <w:rsid w:val="00911827"/>
    <w:rsid w:val="0093315A"/>
    <w:rsid w:val="00935519"/>
    <w:rsid w:val="009404E4"/>
    <w:rsid w:val="00943206"/>
    <w:rsid w:val="00945525"/>
    <w:rsid w:val="00961B47"/>
    <w:rsid w:val="00966D0A"/>
    <w:rsid w:val="00981EF8"/>
    <w:rsid w:val="009B2712"/>
    <w:rsid w:val="009B48B0"/>
    <w:rsid w:val="009D155A"/>
    <w:rsid w:val="009D17BF"/>
    <w:rsid w:val="00A03183"/>
    <w:rsid w:val="00A20048"/>
    <w:rsid w:val="00A40597"/>
    <w:rsid w:val="00A46077"/>
    <w:rsid w:val="00A730A8"/>
    <w:rsid w:val="00A90FDB"/>
    <w:rsid w:val="00A93481"/>
    <w:rsid w:val="00AA2EF9"/>
    <w:rsid w:val="00AB42A5"/>
    <w:rsid w:val="00AB4D5C"/>
    <w:rsid w:val="00AB56F3"/>
    <w:rsid w:val="00AB7D76"/>
    <w:rsid w:val="00AC58DB"/>
    <w:rsid w:val="00AD0D4E"/>
    <w:rsid w:val="00AE38F1"/>
    <w:rsid w:val="00AE5637"/>
    <w:rsid w:val="00B07483"/>
    <w:rsid w:val="00B1127E"/>
    <w:rsid w:val="00B14F4E"/>
    <w:rsid w:val="00B216A6"/>
    <w:rsid w:val="00B27EB7"/>
    <w:rsid w:val="00B33DF7"/>
    <w:rsid w:val="00B34D55"/>
    <w:rsid w:val="00B41F3A"/>
    <w:rsid w:val="00B422F7"/>
    <w:rsid w:val="00B43F17"/>
    <w:rsid w:val="00B44ADE"/>
    <w:rsid w:val="00B90523"/>
    <w:rsid w:val="00BB6408"/>
    <w:rsid w:val="00BD1018"/>
    <w:rsid w:val="00BE63D2"/>
    <w:rsid w:val="00BE7D87"/>
    <w:rsid w:val="00BF1295"/>
    <w:rsid w:val="00C011EC"/>
    <w:rsid w:val="00C03B5C"/>
    <w:rsid w:val="00C06D7A"/>
    <w:rsid w:val="00C3440D"/>
    <w:rsid w:val="00C4531F"/>
    <w:rsid w:val="00C53194"/>
    <w:rsid w:val="00C63B63"/>
    <w:rsid w:val="00C75B9F"/>
    <w:rsid w:val="00C81775"/>
    <w:rsid w:val="00CE2E1E"/>
    <w:rsid w:val="00CE7DC2"/>
    <w:rsid w:val="00D0038F"/>
    <w:rsid w:val="00D14B14"/>
    <w:rsid w:val="00D443F1"/>
    <w:rsid w:val="00D50EC4"/>
    <w:rsid w:val="00D67A20"/>
    <w:rsid w:val="00D71B42"/>
    <w:rsid w:val="00D9304E"/>
    <w:rsid w:val="00DA3CF1"/>
    <w:rsid w:val="00DA7062"/>
    <w:rsid w:val="00DB42DA"/>
    <w:rsid w:val="00DC28BC"/>
    <w:rsid w:val="00DC5706"/>
    <w:rsid w:val="00DD053F"/>
    <w:rsid w:val="00DD108D"/>
    <w:rsid w:val="00E477C0"/>
    <w:rsid w:val="00E63DAF"/>
    <w:rsid w:val="00E64BCC"/>
    <w:rsid w:val="00E72B90"/>
    <w:rsid w:val="00E974B4"/>
    <w:rsid w:val="00EA11FA"/>
    <w:rsid w:val="00EA491E"/>
    <w:rsid w:val="00EA7FA0"/>
    <w:rsid w:val="00ED12AF"/>
    <w:rsid w:val="00ED6870"/>
    <w:rsid w:val="00ED739E"/>
    <w:rsid w:val="00EE08F0"/>
    <w:rsid w:val="00EF2DCC"/>
    <w:rsid w:val="00EF3D87"/>
    <w:rsid w:val="00F17CC3"/>
    <w:rsid w:val="00F20590"/>
    <w:rsid w:val="00F576E7"/>
    <w:rsid w:val="00F716B0"/>
    <w:rsid w:val="00F9602D"/>
    <w:rsid w:val="00FA21BB"/>
    <w:rsid w:val="00FA2F4B"/>
    <w:rsid w:val="00FD0883"/>
    <w:rsid w:val="00FD543E"/>
    <w:rsid w:val="00FE21D4"/>
    <w:rsid w:val="00FE5F8E"/>
    <w:rsid w:val="00FF204B"/>
    <w:rsid w:val="00FF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DA"/>
  </w:style>
  <w:style w:type="paragraph" w:styleId="Footer">
    <w:name w:val="footer"/>
    <w:basedOn w:val="Normal"/>
    <w:link w:val="FooterChar"/>
    <w:uiPriority w:val="99"/>
    <w:unhideWhenUsed/>
    <w:rsid w:val="00DB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DA"/>
  </w:style>
  <w:style w:type="paragraph" w:styleId="BalloonText">
    <w:name w:val="Balloon Text"/>
    <w:basedOn w:val="Normal"/>
    <w:link w:val="BalloonTextChar"/>
    <w:uiPriority w:val="99"/>
    <w:semiHidden/>
    <w:unhideWhenUsed/>
    <w:rsid w:val="00057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519FB"/>
    <w:pPr>
      <w:spacing w:after="0" w:line="240" w:lineRule="auto"/>
      <w:jc w:val="both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911329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11329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11329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11329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56589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3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kwndjs@nav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she89@nat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jnas@hanmail.ne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1611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0012761</cp:lastModifiedBy>
  <cp:revision>125</cp:revision>
  <dcterms:created xsi:type="dcterms:W3CDTF">2018-05-21T01:30:00Z</dcterms:created>
  <dcterms:modified xsi:type="dcterms:W3CDTF">2018-07-20T13:22:00Z</dcterms:modified>
</cp:coreProperties>
</file>