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3879" w:type="dxa"/>
        <w:tblInd w:w="-18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302"/>
        <w:gridCol w:w="13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tcBorders>
              <w:left w:val="nil"/>
              <w:right w:val="nil"/>
            </w:tcBorders>
            <w:shd w:val="clear" w:color="auto" w:fill="auto"/>
          </w:tcPr>
          <w:p>
            <w:pPr>
              <w:spacing w:line="240" w:lineRule="exact"/>
              <w:jc w:val="left"/>
              <w:rPr>
                <w:rFonts w:ascii="Times New Roman" w:hAnsi="Times New Roman"/>
                <w:b/>
                <w:color w:val="auto"/>
                <w:sz w:val="20"/>
              </w:rPr>
            </w:pPr>
            <w:r>
              <w:rPr>
                <w:rFonts w:ascii="Times New Roman" w:hAnsi="Times New Roman"/>
                <w:b/>
                <w:color w:val="auto"/>
                <w:sz w:val="20"/>
              </w:rPr>
              <w:t>Database</w:t>
            </w:r>
          </w:p>
        </w:tc>
        <w:tc>
          <w:tcPr>
            <w:tcW w:w="1302" w:type="dxa"/>
            <w:tcBorders>
              <w:left w:val="nil"/>
              <w:right w:val="nil"/>
            </w:tcBorders>
            <w:shd w:val="clear" w:color="auto" w:fill="auto"/>
          </w:tcPr>
          <w:p>
            <w:pPr>
              <w:spacing w:line="240" w:lineRule="exact"/>
              <w:jc w:val="left"/>
              <w:rPr>
                <w:rFonts w:ascii="Times New Roman" w:hAnsi="Times New Roman"/>
                <w:b/>
                <w:color w:val="auto"/>
                <w:sz w:val="20"/>
              </w:rPr>
            </w:pPr>
            <w:r>
              <w:rPr>
                <w:rFonts w:ascii="Times New Roman" w:hAnsi="Times New Roman"/>
                <w:b/>
                <w:color w:val="auto"/>
                <w:sz w:val="20"/>
              </w:rPr>
              <w:t>Number of annotated unigenes</w:t>
            </w:r>
          </w:p>
        </w:tc>
        <w:tc>
          <w:tcPr>
            <w:tcW w:w="1361" w:type="dxa"/>
            <w:tcBorders>
              <w:left w:val="nil"/>
              <w:right w:val="nil"/>
            </w:tcBorders>
            <w:shd w:val="clear" w:color="auto" w:fill="auto"/>
          </w:tcPr>
          <w:p>
            <w:pPr>
              <w:spacing w:line="240" w:lineRule="exact"/>
              <w:jc w:val="left"/>
              <w:rPr>
                <w:rFonts w:ascii="Times New Roman" w:hAnsi="Times New Roman"/>
                <w:b/>
                <w:color w:val="auto"/>
                <w:sz w:val="20"/>
              </w:rPr>
            </w:pPr>
            <w:r>
              <w:rPr>
                <w:rFonts w:ascii="Times New Roman" w:hAnsi="Times New Roman"/>
                <w:b/>
                <w:color w:val="auto"/>
                <w:sz w:val="20"/>
              </w:rPr>
              <w:t>Percent of annotated unigenes (%)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exact"/>
              <w:jc w:val="left"/>
              <w:rPr>
                <w:rFonts w:ascii="Times New Roman" w:hAnsi="Times New Roman"/>
                <w:b/>
                <w:color w:val="auto"/>
                <w:sz w:val="20"/>
              </w:rPr>
            </w:pPr>
            <w:r>
              <w:rPr>
                <w:rFonts w:ascii="Times New Roman" w:hAnsi="Times New Roman"/>
                <w:b/>
                <w:color w:val="auto"/>
                <w:sz w:val="20"/>
              </w:rPr>
              <w:t>COG</w:t>
            </w:r>
          </w:p>
        </w:tc>
        <w:tc>
          <w:tcPr>
            <w:tcW w:w="130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exact"/>
              <w:jc w:val="left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ascii="Times New Roman" w:hAnsi="Times New Roman"/>
                <w:color w:val="auto"/>
                <w:sz w:val="20"/>
              </w:rPr>
              <w:t>12,290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exact"/>
              <w:jc w:val="left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ascii="Times New Roman" w:hAnsi="Times New Roman"/>
                <w:color w:val="auto"/>
                <w:sz w:val="20"/>
              </w:rPr>
              <w:t>15.41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exact"/>
              <w:jc w:val="left"/>
              <w:rPr>
                <w:rFonts w:ascii="Times New Roman" w:hAnsi="Times New Roman"/>
                <w:b/>
                <w:color w:val="auto"/>
                <w:sz w:val="20"/>
              </w:rPr>
            </w:pPr>
            <w:r>
              <w:rPr>
                <w:rFonts w:ascii="Times New Roman" w:hAnsi="Times New Roman"/>
                <w:b/>
                <w:color w:val="auto"/>
                <w:sz w:val="20"/>
              </w:rPr>
              <w:t>GO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exact"/>
              <w:jc w:val="left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ascii="Times New Roman" w:hAnsi="Times New Roman"/>
                <w:color w:val="auto"/>
                <w:sz w:val="20"/>
              </w:rPr>
              <w:t>23,396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exact"/>
              <w:jc w:val="left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ascii="Times New Roman" w:hAnsi="Times New Roman"/>
                <w:color w:val="auto"/>
                <w:sz w:val="20"/>
              </w:rPr>
              <w:t>29.33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exact"/>
              <w:jc w:val="left"/>
              <w:rPr>
                <w:rFonts w:ascii="Times New Roman" w:hAnsi="Times New Roman"/>
                <w:b/>
                <w:color w:val="auto"/>
                <w:sz w:val="20"/>
              </w:rPr>
            </w:pPr>
            <w:r>
              <w:rPr>
                <w:rFonts w:ascii="Times New Roman" w:hAnsi="Times New Roman"/>
                <w:b/>
                <w:color w:val="auto"/>
                <w:sz w:val="20"/>
              </w:rPr>
              <w:t>KEGG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exact"/>
              <w:jc w:val="left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ascii="Times New Roman" w:hAnsi="Times New Roman"/>
                <w:color w:val="auto"/>
                <w:sz w:val="20"/>
              </w:rPr>
              <w:t>14,771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exact"/>
              <w:jc w:val="left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ascii="Times New Roman" w:hAnsi="Times New Roman"/>
                <w:color w:val="auto"/>
                <w:sz w:val="20"/>
              </w:rPr>
              <w:t>18.52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exact"/>
              <w:jc w:val="left"/>
              <w:rPr>
                <w:rFonts w:ascii="Times New Roman" w:hAnsi="Times New Roman"/>
                <w:b/>
                <w:color w:val="auto"/>
                <w:sz w:val="20"/>
              </w:rPr>
            </w:pPr>
            <w:r>
              <w:rPr>
                <w:rFonts w:ascii="Times New Roman" w:hAnsi="Times New Roman"/>
                <w:b/>
                <w:color w:val="auto"/>
                <w:sz w:val="20"/>
              </w:rPr>
              <w:t>KOG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exact"/>
              <w:jc w:val="left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ascii="Times New Roman" w:hAnsi="Times New Roman"/>
                <w:color w:val="auto"/>
                <w:sz w:val="20"/>
              </w:rPr>
              <w:t>22,590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exact"/>
              <w:jc w:val="left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ascii="Times New Roman" w:hAnsi="Times New Roman"/>
                <w:color w:val="auto"/>
                <w:sz w:val="20"/>
              </w:rPr>
              <w:t>28.32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exact"/>
              <w:jc w:val="left"/>
              <w:rPr>
                <w:rFonts w:ascii="Times New Roman" w:hAnsi="Times New Roman"/>
                <w:b/>
                <w:color w:val="auto"/>
                <w:sz w:val="20"/>
              </w:rPr>
            </w:pPr>
            <w:r>
              <w:rPr>
                <w:rFonts w:ascii="Times New Roman" w:hAnsi="Times New Roman"/>
                <w:b/>
                <w:color w:val="auto"/>
                <w:sz w:val="20"/>
              </w:rPr>
              <w:t>Pfam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exact"/>
              <w:jc w:val="left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ascii="Times New Roman" w:hAnsi="Times New Roman"/>
                <w:color w:val="auto"/>
                <w:sz w:val="20"/>
              </w:rPr>
              <w:t>27,076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exact"/>
              <w:jc w:val="left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ascii="Times New Roman" w:hAnsi="Times New Roman"/>
                <w:color w:val="auto"/>
                <w:sz w:val="20"/>
              </w:rPr>
              <w:t>33.94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exact"/>
              <w:jc w:val="left"/>
              <w:rPr>
                <w:rFonts w:ascii="Times New Roman" w:hAnsi="Times New Roman"/>
                <w:b/>
                <w:color w:val="auto"/>
                <w:sz w:val="20"/>
              </w:rPr>
            </w:pPr>
            <w:r>
              <w:rPr>
                <w:rFonts w:ascii="Times New Roman" w:hAnsi="Times New Roman"/>
                <w:b/>
                <w:color w:val="auto"/>
                <w:sz w:val="20"/>
              </w:rPr>
              <w:t>Swiss-Prot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exact"/>
              <w:jc w:val="left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ascii="Times New Roman" w:hAnsi="Times New Roman"/>
                <w:color w:val="auto"/>
                <w:sz w:val="20"/>
              </w:rPr>
              <w:t>25,712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exact"/>
              <w:jc w:val="left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ascii="Times New Roman" w:hAnsi="Times New Roman"/>
                <w:color w:val="auto"/>
                <w:sz w:val="20"/>
              </w:rPr>
              <w:t>32.23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exact"/>
              <w:jc w:val="left"/>
              <w:rPr>
                <w:rFonts w:ascii="Times New Roman" w:hAnsi="Times New Roman"/>
                <w:b/>
                <w:color w:val="auto"/>
                <w:sz w:val="20"/>
              </w:rPr>
            </w:pPr>
            <w:r>
              <w:rPr>
                <w:rFonts w:ascii="Times New Roman" w:hAnsi="Times New Roman"/>
                <w:b/>
                <w:color w:val="auto"/>
                <w:sz w:val="20"/>
              </w:rPr>
              <w:t>eggNOG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exact"/>
              <w:jc w:val="left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ascii="Times New Roman" w:hAnsi="Times New Roman"/>
                <w:color w:val="auto"/>
                <w:sz w:val="20"/>
              </w:rPr>
              <w:t>37,360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exact"/>
              <w:jc w:val="left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ascii="Times New Roman" w:hAnsi="Times New Roman"/>
                <w:color w:val="auto"/>
                <w:sz w:val="20"/>
              </w:rPr>
              <w:t>46.83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exact"/>
              <w:jc w:val="left"/>
              <w:rPr>
                <w:rFonts w:ascii="Times New Roman" w:hAnsi="Times New Roman"/>
                <w:b/>
                <w:color w:val="auto"/>
                <w:sz w:val="20"/>
              </w:rPr>
            </w:pPr>
            <w:r>
              <w:rPr>
                <w:rFonts w:ascii="Times New Roman" w:hAnsi="Times New Roman"/>
                <w:b/>
                <w:color w:val="auto"/>
                <w:sz w:val="20"/>
              </w:rPr>
              <w:t>Nr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exact"/>
              <w:jc w:val="left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ascii="Times New Roman" w:hAnsi="Times New Roman"/>
                <w:color w:val="auto"/>
                <w:sz w:val="20"/>
              </w:rPr>
              <w:t>39,943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exact"/>
              <w:jc w:val="left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ascii="Times New Roman" w:hAnsi="Times New Roman"/>
                <w:color w:val="auto"/>
                <w:sz w:val="20"/>
              </w:rPr>
              <w:t>50.07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spacing w:line="240" w:lineRule="exact"/>
              <w:jc w:val="left"/>
              <w:rPr>
                <w:rFonts w:ascii="Times New Roman" w:hAnsi="Times New Roman"/>
                <w:b/>
                <w:color w:val="auto"/>
                <w:sz w:val="20"/>
              </w:rPr>
            </w:pPr>
            <w:r>
              <w:rPr>
                <w:rFonts w:ascii="Times New Roman" w:hAnsi="Times New Roman"/>
                <w:b/>
                <w:color w:val="auto"/>
                <w:sz w:val="20"/>
              </w:rPr>
              <w:t>All</w:t>
            </w:r>
          </w:p>
        </w:tc>
        <w:tc>
          <w:tcPr>
            <w:tcW w:w="1302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spacing w:line="240" w:lineRule="exact"/>
              <w:jc w:val="left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ascii="Times New Roman" w:hAnsi="Times New Roman"/>
                <w:color w:val="auto"/>
                <w:sz w:val="20"/>
              </w:rPr>
              <w:t>40,563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spacing w:line="240" w:lineRule="exact"/>
              <w:jc w:val="left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ascii="Times New Roman" w:hAnsi="Times New Roman"/>
                <w:color w:val="auto"/>
                <w:sz w:val="20"/>
              </w:rPr>
              <w:t>50.85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8E54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樊荣辉</cp:lastModifiedBy>
  <dcterms:modified xsi:type="dcterms:W3CDTF">2018-05-11T04:16:26Z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