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1901825</wp:posOffset>
                </wp:positionV>
                <wp:extent cx="448310" cy="27559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Theme="minorBidi" w:eastAsiaTheme="minor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.4pt;margin-top:149.75pt;height:21.7pt;width:35.3pt;z-index:251658240;mso-width-relative:page;mso-height-relative:page;" filled="f" stroked="f" coordsize="21600,21600" o:gfxdata="UEsDBAoAAAAAAIdO4kAAAAAAAAAAAAAAAAAEAAAAZHJzL1BLAwQUAAAACACHTuJApdkurNgAAAAJ&#10;AQAADwAAAGRycy9kb3ducmV2LnhtbE2PzU7DMBCE70i8g7VI3Fo7gVZNyKZC/EgcuFDC3Y3dJGq8&#10;jmK3Sd+e5USPOzua+abYzq4XZzuGzhNCslQgLNXedNQgVN/viw2IEDUZ3XuyCBcbYFve3hQ6N36i&#10;L3vexUZwCIVcI7QxDrmUoW6t02HpB0v8O/jR6cjn2Egz6onDXS9TpdbS6Y64odWDfWltfdydHEKM&#10;5jm5VG8ufPzMn69Tq+qVrhDv7xL1BCLaOf6b4Q+f0aFkpr0/kQmiR1hsmDwipFm2AsGGdcLCHuHh&#10;Mc1AloW8XlD+AlBLAwQUAAAACACHTuJAaTu3w54BAAAOAwAADgAAAGRycy9lMm9Eb2MueG1srVJL&#10;jhMxEN0jcQfLe9JJmAxDK50RMBo2CJAGDuC47bSltstUOenOBeAGrNiwn3PlHJSdTAbBDrEp2/V5&#10;9eqVl9ej78XOIDkIjZxNplKYoKF1YdPIz59un11JQUmFVvUQTCP3huT16umT5RBrM4cO+tagYJBA&#10;9RAb2aUU66oi3RmvaALRBA5aQK8SP3FTtagGRvd9NZ9OL6sBsI0I2hCx9+YYlKuCb63R6YO1ZJLo&#10;G8ncUrFY7DrbarVU9QZV7Jw+0VD/wMIrF7jpGepGJSW26P6C8k4jENg00eArsNZpU2bgaWbTP6a5&#10;61Q0ZRYWh+JZJvp/sPr97iMK1zbyUoqgPK/o8P3b4cf94edXscjyDJFqzrqLnJfG1zDymh/8xM48&#10;9WjR55PnERxnofdncc2YhGbnxcXV8xlHNIfmLxaLl0X86rE4IqW3BrzIl0Yi765IqnbvKDERTn1I&#10;yb0C3Lq+z/7M8Mgk39K4Hk+019DumfXA620kfdkqNFJg6t9A+Q0ZheKrbWKk0iCXH2tOqCx66Xv6&#10;IHmrv79L1uM3Xv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dkurNgAAAAJAQAADwAAAAAAAAAB&#10;ACAAAAAiAAAAZHJzL2Rvd25yZXYueG1sUEsBAhQAFAAAAAgAh07iQGk7t8OeAQAAD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="Times New Roman" w:hAnsiTheme="minorBidi" w:eastAsiaTheme="minor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1898650</wp:posOffset>
                </wp:positionV>
                <wp:extent cx="448310" cy="27559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74.5pt;margin-top:149.5pt;height:21.7pt;width:35.3pt;z-index:251659264;mso-width-relative:page;mso-height-relative:page;" filled="f" stroked="f" coordsize="21600,21600" o:gfxdata="UEsDBAoAAAAAAIdO4kAAAAAAAAAAAAAAAAAEAAAAZHJzL1BLAwQUAAAACACHTuJA2nH+JdcAAAAL&#10;AQAADwAAAGRycy9kb3ducmV2LnhtbE2PT0+EMBDF7yZ+h2ZMvLkFxI0gZWP8k3jw4or3WTpSIp0S&#10;2l3Yb2856W1e3sub36t2ix3EiSbfO1aQbhIQxK3TPXcKms/Xm3sQPiBrHByTgjN52NWXFxWW2s38&#10;Qad96EQsYV+iAhPCWErpW0MW/caNxNH7dpPFEOXUST3hHMvtILMk2UqLPccPBkd6MtT+7I9WQQj6&#10;MT03L9a/fS3vz7NJ2jtslLq+SpMHEIGW8BeGFT+iQx2ZDu7I2otBwW1exC1BQVasR0zkabEFcVit&#10;LAdZV/L/hvoXUEsDBBQAAAAIAIdO4kCZaSvPngEAAA4DAAAOAAAAZHJzL2Uyb0RvYy54bWytUkuO&#10;EzEQ3SNxB8t70kmYwNBKZwSMhg0CpIEDOG47bantMlVOunMBuAErNuw5V85B2clkRsMOsSnb9Xn1&#10;6pWXV6Pvxc4gOQiNnE2mUpigoXVh08gvn2+eXUpBSYVW9RBMI/eG5NXq6ZPlEGszhw761qBgkED1&#10;EBvZpRTrqiLdGa9oAtEEDlpArxI/cVO1qAZG9301n05fVANgGxG0IWLv9TEoVwXfWqPTR2vJJNE3&#10;krmlYrHYdbbVaqnqDarYOX2iof6BhVcucNMz1LVKSmzR/QXlnUYgsGmiwVdgrdOmzMDTzKaPprnt&#10;VDRlFhaH4lkm+n+w+sPuEwrXNnIuRVCeV3T48f3w8/fh1zexyPIMkWrOuo2cl8Y3MPKa7/zEzjz1&#10;aNHnk+cRHGeh92dxzZiEZufFxeXzGUc0h+YvF4tXRfzqvjgipXcGvMiXRiLvrkiqdu8pMRFOvUvJ&#10;vQLcuL7P/szwyCTf0rgeT7TX0O6Z9cDrbSR93So0UmDq30L5DRmF4uttYqTSIJcfa06oLHrpe/og&#10;easP3yXr/huv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acf4l1wAAAAsBAAAPAAAAAAAAAAEA&#10;IAAAACIAAABkcnMvZG93bnJldi54bWxQSwECFAAUAAAACACHTuJAmWkrz54BAAAO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23795" cy="2258695"/>
            <wp:effectExtent l="0" t="0" r="14605" b="8255"/>
            <wp:docPr id="1" name="图片 1" descr="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enn"/>
                    <pic:cNvPicPr>
                      <a:picLocks noChangeAspect="1"/>
                    </pic:cNvPicPr>
                  </pic:nvPicPr>
                  <pic:blipFill>
                    <a:blip r:embed="rId4"/>
                    <a:srcRect l="12353" t="14931" r="12672" b="15201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9370" cy="2172970"/>
            <wp:effectExtent l="4445" t="4445" r="6985" b="1333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Venn diagram of DEGs at different stages of flower development. (B) The expression patterns of DEGs at different stages of flower development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2934"/>
    <w:multiLevelType w:val="singleLevel"/>
    <w:tmpl w:val="14372934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B6B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36716;&#24405;&#32452;&#27979;&#24207;\&#25991;&#31456;\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276019514181"/>
          <c:y val="0.0532494948922752"/>
          <c:w val="0.768582749870948"/>
          <c:h val="0.8143751943265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[图.xlsx]Sheet1!$B$1</c:f>
              <c:strCache>
                <c:ptCount val="1"/>
                <c:pt idx="0">
                  <c:v>up-regulated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0.00854526958290946"/>
                  <c:y val="0.022396744628243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"/>
                  <c:y val="0.02446982055464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0.02097413190398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Times New Roman" panose="02020603050405020304" charset="0"/>
                    <a:cs typeface="Times New Roman" panose="02020603050405020304" charset="0"/>
                    <a:sym typeface="Times New Roman" panose="02020603050405020304" charset="0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[图.xlsx]Sheet1!$A$2:$A$4</c:f>
              <c:strCache>
                <c:ptCount val="3"/>
                <c:pt idx="0">
                  <c:v>P1 VS P2</c:v>
                </c:pt>
                <c:pt idx="1">
                  <c:v>P2 VS P3</c:v>
                </c:pt>
                <c:pt idx="2">
                  <c:v>P3 VS P4</c:v>
                </c:pt>
              </c:strCache>
            </c:strRef>
          </c:cat>
          <c:val>
            <c:numRef>
              <c:f>[图.xlsx]Sheet1!$B$2:$B$4</c:f>
              <c:numCache>
                <c:formatCode>General</c:formatCode>
                <c:ptCount val="3"/>
                <c:pt idx="0">
                  <c:v>1497</c:v>
                </c:pt>
                <c:pt idx="1">
                  <c:v>745</c:v>
                </c:pt>
                <c:pt idx="2">
                  <c:v>317</c:v>
                </c:pt>
              </c:numCache>
            </c:numRef>
          </c:val>
        </c:ser>
        <c:ser>
          <c:idx val="1"/>
          <c:order val="1"/>
          <c:tx>
            <c:strRef>
              <c:f>[图.xlsx]Sheet1!$C$1</c:f>
              <c:strCache>
                <c:ptCount val="1"/>
                <c:pt idx="0">
                  <c:v>down-regulated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0.00277008310249307"/>
                  <c:y val="0.028902390859314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277008310249307"/>
                  <c:y val="0.02446982055464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0984740590030519"/>
                      <c:h val="0.0722985229334024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0"/>
                  <c:y val="0.02097413190398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Times New Roman" panose="02020603050405020304" charset="0"/>
                    <a:cs typeface="Times New Roman" panose="02020603050405020304" charset="0"/>
                    <a:sym typeface="Times New Roman" panose="02020603050405020304" charset="0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[图.xlsx]Sheet1!$A$2:$A$4</c:f>
              <c:strCache>
                <c:ptCount val="3"/>
                <c:pt idx="0">
                  <c:v>P1 VS P2</c:v>
                </c:pt>
                <c:pt idx="1">
                  <c:v>P2 VS P3</c:v>
                </c:pt>
                <c:pt idx="2">
                  <c:v>P3 VS P4</c:v>
                </c:pt>
              </c:strCache>
            </c:strRef>
          </c:cat>
          <c:val>
            <c:numRef>
              <c:f>[图.xlsx]Sheet1!$C$2:$C$4</c:f>
              <c:numCache>
                <c:formatCode>General</c:formatCode>
                <c:ptCount val="3"/>
                <c:pt idx="0">
                  <c:v>1723</c:v>
                </c:pt>
                <c:pt idx="1">
                  <c:v>326</c:v>
                </c:pt>
                <c:pt idx="2">
                  <c:v>558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7097216"/>
        <c:axId val="77115392"/>
      </c:barChart>
      <c:catAx>
        <c:axId val="7709721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77115392"/>
        <c:crosses val="autoZero"/>
        <c:auto val="1"/>
        <c:lblAlgn val="ctr"/>
        <c:lblOffset val="100"/>
        <c:noMultiLvlLbl val="0"/>
      </c:catAx>
      <c:valAx>
        <c:axId val="77115392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latin typeface="Times New Roman" panose="02020603050405020304" charset="0"/>
                  </a:rPr>
                  <a:t>Number of DEGs</a:t>
                </a:r>
                <a:endParaRPr lang="en-US" altLang="zh-CN" sz="1000">
                  <a:latin typeface="Times New Roman" panose="02020603050405020304" charset="0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77097216"/>
        <c:crosses val="autoZero"/>
        <c:crossBetween val="between"/>
      </c:valAx>
      <c:spPr>
        <a:noFill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491371573344999"/>
          <c:y val="0.169236579240545"/>
          <c:w val="0.329977243149315"/>
          <c:h val="0.116105898681828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2018-05-11T04:35:50Z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