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BB76CAC" w14:textId="77777777" w:rsidR="00650C60" w:rsidRPr="00681C5B" w:rsidRDefault="00000000" w:rsidP="00681C5B">
      <w:pPr>
        <w:pBdr>
          <w:bottom w:val="single" w:sz="6" w:space="1" w:color="4A6741"/>
        </w:pBdr>
        <w:shd w:val="clear" w:color="auto" w:fill="2E4057"/>
        <w:spacing w:after="80"/>
        <w:jc w:val="center"/>
        <w:rPr>
          <w:color w:val="FFFFFF" w:themeColor="background1"/>
        </w:rPr>
      </w:pPr>
      <w:proofErr w:type="spellStart"/>
      <w:r w:rsidRPr="00681C5B">
        <w:rPr>
          <w:b/>
          <w:bCs/>
          <w:color w:val="FFFFFF" w:themeColor="background1"/>
          <w:sz w:val="28"/>
          <w:szCs w:val="28"/>
        </w:rPr>
        <w:t>HerEconomics</w:t>
      </w:r>
      <w:proofErr w:type="spellEnd"/>
      <w:r w:rsidRPr="00681C5B">
        <w:rPr>
          <w:b/>
          <w:bCs/>
          <w:color w:val="FFFFFF" w:themeColor="background1"/>
          <w:sz w:val="28"/>
          <w:szCs w:val="28"/>
        </w:rPr>
        <w:t xml:space="preserve"> Survey: Women's Savings, Income and Economic Wellbeing</w:t>
      </w:r>
    </w:p>
    <w:p w14:paraId="66D0C34C" w14:textId="75DD8BA1" w:rsidR="00650C60" w:rsidRPr="00681C5B" w:rsidRDefault="00000000" w:rsidP="00681C5B">
      <w:pPr>
        <w:spacing w:after="240"/>
        <w:jc w:val="center"/>
      </w:pPr>
      <w:r w:rsidRPr="00681C5B">
        <w:rPr>
          <w:i/>
          <w:iCs/>
          <w:color w:val="555555"/>
          <w:sz w:val="19"/>
          <w:szCs w:val="19"/>
        </w:rPr>
        <w:t xml:space="preserve">Research Learning </w:t>
      </w:r>
      <w:r w:rsidR="00681C5B" w:rsidRPr="00681C5B">
        <w:rPr>
          <w:i/>
          <w:iCs/>
          <w:color w:val="555555"/>
          <w:sz w:val="19"/>
          <w:szCs w:val="19"/>
        </w:rPr>
        <w:t>Brief | June</w:t>
      </w:r>
      <w:r w:rsidRPr="00681C5B">
        <w:rPr>
          <w:i/>
          <w:iCs/>
          <w:color w:val="555555"/>
          <w:sz w:val="19"/>
          <w:szCs w:val="19"/>
        </w:rPr>
        <w:t xml:space="preserve"> </w:t>
      </w:r>
      <w:r w:rsidR="00681C5B" w:rsidRPr="00681C5B">
        <w:rPr>
          <w:i/>
          <w:iCs/>
          <w:color w:val="555555"/>
          <w:sz w:val="19"/>
          <w:szCs w:val="19"/>
        </w:rPr>
        <w:t>2026 | Synthetic</w:t>
      </w:r>
      <w:r w:rsidRPr="00681C5B">
        <w:rPr>
          <w:i/>
          <w:iCs/>
          <w:color w:val="555555"/>
          <w:sz w:val="19"/>
          <w:szCs w:val="19"/>
        </w:rPr>
        <w:t xml:space="preserve"> dataset, n = </w:t>
      </w:r>
      <w:r w:rsidR="00681C5B" w:rsidRPr="00681C5B">
        <w:rPr>
          <w:i/>
          <w:iCs/>
          <w:color w:val="555555"/>
          <w:sz w:val="19"/>
          <w:szCs w:val="19"/>
        </w:rPr>
        <w:t>312 | Peter</w:t>
      </w:r>
      <w:r w:rsidRPr="00681C5B">
        <w:rPr>
          <w:i/>
          <w:iCs/>
          <w:color w:val="555555"/>
          <w:sz w:val="19"/>
          <w:szCs w:val="19"/>
        </w:rPr>
        <w:t xml:space="preserve"> Thuo Muiruri</w:t>
      </w:r>
    </w:p>
    <w:p w14:paraId="71E11904" w14:textId="77777777" w:rsidR="00650C60" w:rsidRPr="00681C5B" w:rsidRDefault="00000000">
      <w:pPr>
        <w:pBdr>
          <w:bottom w:val="single" w:sz="4" w:space="2" w:color="2E4057"/>
        </w:pBdr>
        <w:spacing w:before="200" w:after="60"/>
      </w:pPr>
      <w:r w:rsidRPr="00681C5B">
        <w:rPr>
          <w:b/>
          <w:bCs/>
          <w:color w:val="2E4057"/>
        </w:rPr>
        <w:t>CONTEXT</w:t>
      </w:r>
    </w:p>
    <w:p w14:paraId="6389A98F" w14:textId="77777777" w:rsidR="00650C60" w:rsidRPr="00681C5B" w:rsidRDefault="00000000">
      <w:pPr>
        <w:spacing w:before="40" w:after="80"/>
      </w:pPr>
      <w:r w:rsidRPr="00681C5B">
        <w:rPr>
          <w:color w:val="1A1A2E"/>
        </w:rPr>
        <w:t xml:space="preserve">This brief summarises findings from a synthetic </w:t>
      </w:r>
      <w:proofErr w:type="spellStart"/>
      <w:r w:rsidRPr="00681C5B">
        <w:rPr>
          <w:color w:val="1A1A2E"/>
        </w:rPr>
        <w:t>HerEconomics</w:t>
      </w:r>
      <w:proofErr w:type="spellEnd"/>
      <w:r w:rsidRPr="00681C5B">
        <w:rPr>
          <w:color w:val="1A1A2E"/>
        </w:rPr>
        <w:t xml:space="preserve"> baseline survey covering 312 women respondents across five counties in Kenya. The survey captured income sources, savings behaviour, digital access, unpaid care responsibilities and health-related financial pressures. Data were cleaned and analysed in R. All figures are drawn from synthetic data generated to reflect realistic population distributions and are intended for portfolio purposes.</w:t>
      </w:r>
    </w:p>
    <w:p w14:paraId="333ABD93" w14:textId="77777777" w:rsidR="00650C60" w:rsidRDefault="00000000">
      <w:pPr>
        <w:pBdr>
          <w:bottom w:val="single" w:sz="4" w:space="2" w:color="2E4057"/>
        </w:pBdr>
        <w:spacing w:before="200" w:after="60"/>
      </w:pPr>
      <w:r w:rsidRPr="00681C5B">
        <w:rPr>
          <w:b/>
          <w:bCs/>
          <w:color w:val="2E4057"/>
        </w:rPr>
        <w:t>KEY FINDINGS</w:t>
      </w:r>
    </w:p>
    <w:p w14:paraId="6F877615" w14:textId="77777777" w:rsidR="00650C60" w:rsidRDefault="00000000">
      <w:pPr>
        <w:spacing w:before="100" w:after="40"/>
      </w:pPr>
      <w:r>
        <w:rPr>
          <w:b/>
          <w:bCs/>
          <w:color w:val="1A1A2E"/>
        </w:rPr>
        <w:t>Income and enterprise barriers</w:t>
      </w:r>
    </w:p>
    <w:p w14:paraId="3ACA00FC" w14:textId="77777777" w:rsidR="00650C60" w:rsidRDefault="00000000">
      <w:pPr>
        <w:spacing w:before="40" w:after="80"/>
      </w:pPr>
      <w:r>
        <w:rPr>
          <w:color w:val="1A1A2E"/>
        </w:rPr>
        <w:t>The largest share of respondents (38.1%) are self-employed, followed by casual labour (26.3%), formal employment (21.5%) and no income source (14.1%). Median monthly income ranges from KES 19,562 among employed women to KES 6,584 for casual labourers and KES 1,333 for those with no income source. Capital is the most frequently cited barrier to enterprise growth, named by 42.6% of respondents, followed by market access (22.1%) and time constraints (17.3%).</w:t>
      </w:r>
    </w:p>
    <w:p w14:paraId="7294990A" w14:textId="77777777" w:rsidR="00650C60" w:rsidRDefault="00000000">
      <w:pPr>
        <w:spacing w:before="80" w:after="40"/>
      </w:pPr>
      <w:r>
        <w:rPr>
          <w:b/>
          <w:bCs/>
          <w:color w:val="1A1A2E"/>
        </w:rPr>
        <w:t>Savings behaviour</w:t>
      </w:r>
    </w:p>
    <w:p w14:paraId="49BFF823" w14:textId="77777777" w:rsidR="00650C60" w:rsidRDefault="00000000">
      <w:pPr>
        <w:spacing w:before="40" w:after="80"/>
      </w:pPr>
      <w:r>
        <w:rPr>
          <w:color w:val="1A1A2E"/>
        </w:rPr>
        <w:t xml:space="preserve">Fifty-nine percent of respondents are members of a savings group. Mobile money access is widespread at 67.4%, though smartphone penetration is lower at 38.1%. A chi-square test found no statistically significant association between mobile money access and savings group membership (X² = 0.01, </w:t>
      </w:r>
      <w:proofErr w:type="spellStart"/>
      <w:r>
        <w:rPr>
          <w:color w:val="1A1A2E"/>
        </w:rPr>
        <w:t>df</w:t>
      </w:r>
      <w:proofErr w:type="spellEnd"/>
      <w:r>
        <w:rPr>
          <w:color w:val="1A1A2E"/>
        </w:rPr>
        <w:t xml:space="preserve"> = 1, p = 0.91), suggesting that savings group participation in this sample is not strongly tied to digital payment access. This may reflect the continued importance of in-person chama structures as the primary savings mechanism.</w:t>
      </w:r>
    </w:p>
    <w:p w14:paraId="649F38F2" w14:textId="77777777" w:rsidR="00650C60" w:rsidRDefault="00000000">
      <w:pPr>
        <w:spacing w:before="80" w:after="40"/>
      </w:pPr>
      <w:r>
        <w:rPr>
          <w:b/>
          <w:bCs/>
          <w:color w:val="1A1A2E"/>
        </w:rPr>
        <w:t>Unpaid care responsibilities</w:t>
      </w:r>
    </w:p>
    <w:p w14:paraId="4B587AC6" w14:textId="77777777" w:rsidR="00650C60" w:rsidRDefault="00000000">
      <w:pPr>
        <w:spacing w:before="40" w:after="80"/>
      </w:pPr>
      <w:r>
        <w:rPr>
          <w:color w:val="1A1A2E"/>
        </w:rPr>
        <w:t>Women with no income source spend an average of 6.8 hours per day on unpaid care, compared to 5.7 hours for casual labourers and 3.7 hours for both employed and self-employed women. The pattern indicates that care burden decreases as formal or semi-formal income participation increases, though causality cannot be established from cross-sectional data.</w:t>
      </w:r>
    </w:p>
    <w:p w14:paraId="1C6AD61F" w14:textId="77777777" w:rsidR="00650C60" w:rsidRDefault="00000000">
      <w:pPr>
        <w:spacing w:before="80" w:after="40"/>
      </w:pPr>
      <w:r>
        <w:rPr>
          <w:b/>
          <w:bCs/>
          <w:color w:val="1A1A2E"/>
        </w:rPr>
        <w:t>Health-related financial pressure</w:t>
      </w:r>
    </w:p>
    <w:p w14:paraId="49A53515" w14:textId="77777777" w:rsidR="00650C60" w:rsidRDefault="00000000">
      <w:pPr>
        <w:spacing w:before="40" w:after="80"/>
      </w:pPr>
      <w:r>
        <w:rPr>
          <w:color w:val="1A1A2E"/>
        </w:rPr>
        <w:t xml:space="preserve">Health expenses represent a mean of 16.0% of monthly income across the sample. For women in the lowest income tier (casual labour and no income), this share is likely disproportionately higher in absolute terms. Over half of respondents (53.5%) report high financial stress (score 4 or 5 on a five-point scale). A chi-square test found no statistically significant difference in financial stress levels across income source groups (X² = 2.52, </w:t>
      </w:r>
      <w:proofErr w:type="spellStart"/>
      <w:r>
        <w:rPr>
          <w:color w:val="1A1A2E"/>
        </w:rPr>
        <w:t>df</w:t>
      </w:r>
      <w:proofErr w:type="spellEnd"/>
      <w:r>
        <w:rPr>
          <w:color w:val="1A1A2E"/>
        </w:rPr>
        <w:t xml:space="preserve"> = 3, p = 0.47), indicating that stress is widely distributed rather than concentrated in one livelihood category.</w:t>
      </w:r>
    </w:p>
    <w:p w14:paraId="61F24DF4" w14:textId="77777777" w:rsidR="00650C60" w:rsidRDefault="00000000">
      <w:pPr>
        <w:pBdr>
          <w:bottom w:val="single" w:sz="4" w:space="2" w:color="2E4057"/>
        </w:pBdr>
        <w:spacing w:before="200" w:after="60"/>
      </w:pPr>
      <w:r>
        <w:rPr>
          <w:b/>
          <w:bCs/>
          <w:color w:val="2E4057"/>
        </w:rPr>
        <w:t>SUMMARY STATISTICS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5200"/>
        <w:gridCol w:w="3826"/>
      </w:tblGrid>
      <w:tr w:rsidR="00650C60" w14:paraId="16D6A272" w14:textId="77777777">
        <w:tblPrEx>
          <w:tblCellMar>
            <w:top w:w="0" w:type="dxa"/>
            <w:bottom w:w="0" w:type="dxa"/>
          </w:tblCellMar>
        </w:tblPrEx>
        <w:tc>
          <w:tcPr>
            <w:tcW w:w="5200" w:type="dxa"/>
            <w:shd w:val="clear" w:color="auto" w:fill="F0F0F0"/>
            <w:tcMar>
              <w:top w:w="80" w:type="dxa"/>
              <w:left w:w="120" w:type="dxa"/>
              <w:bottom w:w="80" w:type="dxa"/>
              <w:right w:w="120" w:type="dxa"/>
            </w:tcMar>
          </w:tcPr>
          <w:p w14:paraId="27A575FD" w14:textId="77777777" w:rsidR="00650C60" w:rsidRDefault="00000000">
            <w:r>
              <w:rPr>
                <w:b/>
                <w:bCs/>
                <w:color w:val="1A1A2E"/>
                <w:sz w:val="19"/>
                <w:szCs w:val="19"/>
              </w:rPr>
              <w:t>Sample size</w:t>
            </w:r>
          </w:p>
        </w:tc>
        <w:tc>
          <w:tcPr>
            <w:tcW w:w="3826" w:type="dxa"/>
            <w:tcMar>
              <w:top w:w="80" w:type="dxa"/>
              <w:left w:w="120" w:type="dxa"/>
              <w:bottom w:w="80" w:type="dxa"/>
              <w:right w:w="120" w:type="dxa"/>
            </w:tcMar>
          </w:tcPr>
          <w:p w14:paraId="11AC376A" w14:textId="77777777" w:rsidR="00650C60" w:rsidRDefault="00000000">
            <w:r>
              <w:rPr>
                <w:color w:val="1A1A2E"/>
                <w:sz w:val="19"/>
                <w:szCs w:val="19"/>
              </w:rPr>
              <w:t>312</w:t>
            </w:r>
          </w:p>
        </w:tc>
      </w:tr>
      <w:tr w:rsidR="00650C60" w14:paraId="39CBEFC4" w14:textId="77777777">
        <w:tblPrEx>
          <w:tblCellMar>
            <w:top w:w="0" w:type="dxa"/>
            <w:bottom w:w="0" w:type="dxa"/>
          </w:tblCellMar>
        </w:tblPrEx>
        <w:tc>
          <w:tcPr>
            <w:tcW w:w="5200" w:type="dxa"/>
            <w:shd w:val="clear" w:color="auto" w:fill="F0F0F0"/>
            <w:tcMar>
              <w:top w:w="80" w:type="dxa"/>
              <w:left w:w="120" w:type="dxa"/>
              <w:bottom w:w="80" w:type="dxa"/>
              <w:right w:w="120" w:type="dxa"/>
            </w:tcMar>
          </w:tcPr>
          <w:p w14:paraId="4322A716" w14:textId="77777777" w:rsidR="00650C60" w:rsidRDefault="00000000">
            <w:r>
              <w:rPr>
                <w:b/>
                <w:bCs/>
                <w:color w:val="1A1A2E"/>
                <w:sz w:val="19"/>
                <w:szCs w:val="19"/>
              </w:rPr>
              <w:t>Savings group membership rate</w:t>
            </w:r>
          </w:p>
        </w:tc>
        <w:tc>
          <w:tcPr>
            <w:tcW w:w="3826" w:type="dxa"/>
            <w:tcMar>
              <w:top w:w="80" w:type="dxa"/>
              <w:left w:w="120" w:type="dxa"/>
              <w:bottom w:w="80" w:type="dxa"/>
              <w:right w:w="120" w:type="dxa"/>
            </w:tcMar>
          </w:tcPr>
          <w:p w14:paraId="2370CF43" w14:textId="77777777" w:rsidR="00650C60" w:rsidRDefault="00000000">
            <w:r>
              <w:rPr>
                <w:color w:val="1A1A2E"/>
                <w:sz w:val="19"/>
                <w:szCs w:val="19"/>
              </w:rPr>
              <w:t>59.3%</w:t>
            </w:r>
          </w:p>
        </w:tc>
      </w:tr>
      <w:tr w:rsidR="00650C60" w14:paraId="6562D4D7" w14:textId="77777777">
        <w:tblPrEx>
          <w:tblCellMar>
            <w:top w:w="0" w:type="dxa"/>
            <w:bottom w:w="0" w:type="dxa"/>
          </w:tblCellMar>
        </w:tblPrEx>
        <w:tc>
          <w:tcPr>
            <w:tcW w:w="5200" w:type="dxa"/>
            <w:shd w:val="clear" w:color="auto" w:fill="F0F0F0"/>
            <w:tcMar>
              <w:top w:w="80" w:type="dxa"/>
              <w:left w:w="120" w:type="dxa"/>
              <w:bottom w:w="80" w:type="dxa"/>
              <w:right w:w="120" w:type="dxa"/>
            </w:tcMar>
          </w:tcPr>
          <w:p w14:paraId="5FBA1568" w14:textId="77777777" w:rsidR="00650C60" w:rsidRDefault="00000000">
            <w:r>
              <w:rPr>
                <w:b/>
                <w:bCs/>
                <w:color w:val="1A1A2E"/>
                <w:sz w:val="19"/>
                <w:szCs w:val="19"/>
              </w:rPr>
              <w:t>Mobile money access rate</w:t>
            </w:r>
          </w:p>
        </w:tc>
        <w:tc>
          <w:tcPr>
            <w:tcW w:w="3826" w:type="dxa"/>
            <w:tcMar>
              <w:top w:w="80" w:type="dxa"/>
              <w:left w:w="120" w:type="dxa"/>
              <w:bottom w:w="80" w:type="dxa"/>
              <w:right w:w="120" w:type="dxa"/>
            </w:tcMar>
          </w:tcPr>
          <w:p w14:paraId="00D42382" w14:textId="77777777" w:rsidR="00650C60" w:rsidRDefault="00000000">
            <w:r>
              <w:rPr>
                <w:color w:val="1A1A2E"/>
                <w:sz w:val="19"/>
                <w:szCs w:val="19"/>
              </w:rPr>
              <w:t>67.4%</w:t>
            </w:r>
          </w:p>
        </w:tc>
      </w:tr>
      <w:tr w:rsidR="00650C60" w14:paraId="7391A6B4" w14:textId="77777777">
        <w:tblPrEx>
          <w:tblCellMar>
            <w:top w:w="0" w:type="dxa"/>
            <w:bottom w:w="0" w:type="dxa"/>
          </w:tblCellMar>
        </w:tblPrEx>
        <w:tc>
          <w:tcPr>
            <w:tcW w:w="5200" w:type="dxa"/>
            <w:shd w:val="clear" w:color="auto" w:fill="F0F0F0"/>
            <w:tcMar>
              <w:top w:w="80" w:type="dxa"/>
              <w:left w:w="120" w:type="dxa"/>
              <w:bottom w:w="80" w:type="dxa"/>
              <w:right w:w="120" w:type="dxa"/>
            </w:tcMar>
          </w:tcPr>
          <w:p w14:paraId="1B8C392A" w14:textId="77777777" w:rsidR="00650C60" w:rsidRDefault="00000000">
            <w:r>
              <w:rPr>
                <w:b/>
                <w:bCs/>
                <w:color w:val="1A1A2E"/>
                <w:sz w:val="19"/>
                <w:szCs w:val="19"/>
              </w:rPr>
              <w:t>Smartphone access rate</w:t>
            </w:r>
          </w:p>
        </w:tc>
        <w:tc>
          <w:tcPr>
            <w:tcW w:w="3826" w:type="dxa"/>
            <w:tcMar>
              <w:top w:w="80" w:type="dxa"/>
              <w:left w:w="120" w:type="dxa"/>
              <w:bottom w:w="80" w:type="dxa"/>
              <w:right w:w="120" w:type="dxa"/>
            </w:tcMar>
          </w:tcPr>
          <w:p w14:paraId="6D79C544" w14:textId="77777777" w:rsidR="00650C60" w:rsidRDefault="00000000">
            <w:r>
              <w:rPr>
                <w:color w:val="1A1A2E"/>
                <w:sz w:val="19"/>
                <w:szCs w:val="19"/>
              </w:rPr>
              <w:t>38.1%</w:t>
            </w:r>
          </w:p>
        </w:tc>
      </w:tr>
      <w:tr w:rsidR="00650C60" w14:paraId="7C886B65" w14:textId="77777777">
        <w:tblPrEx>
          <w:tblCellMar>
            <w:top w:w="0" w:type="dxa"/>
            <w:bottom w:w="0" w:type="dxa"/>
          </w:tblCellMar>
        </w:tblPrEx>
        <w:tc>
          <w:tcPr>
            <w:tcW w:w="5200" w:type="dxa"/>
            <w:shd w:val="clear" w:color="auto" w:fill="F0F0F0"/>
            <w:tcMar>
              <w:top w:w="80" w:type="dxa"/>
              <w:left w:w="120" w:type="dxa"/>
              <w:bottom w:w="80" w:type="dxa"/>
              <w:right w:w="120" w:type="dxa"/>
            </w:tcMar>
          </w:tcPr>
          <w:p w14:paraId="35B541E6" w14:textId="77777777" w:rsidR="00650C60" w:rsidRDefault="00000000">
            <w:r>
              <w:rPr>
                <w:b/>
                <w:bCs/>
                <w:color w:val="1A1A2E"/>
                <w:sz w:val="19"/>
                <w:szCs w:val="19"/>
              </w:rPr>
              <w:t>Mean monthly income — self-employed (KES)</w:t>
            </w:r>
          </w:p>
        </w:tc>
        <w:tc>
          <w:tcPr>
            <w:tcW w:w="3826" w:type="dxa"/>
            <w:tcMar>
              <w:top w:w="80" w:type="dxa"/>
              <w:left w:w="120" w:type="dxa"/>
              <w:bottom w:w="80" w:type="dxa"/>
              <w:right w:w="120" w:type="dxa"/>
            </w:tcMar>
          </w:tcPr>
          <w:p w14:paraId="05ADEDCC" w14:textId="77777777" w:rsidR="00650C60" w:rsidRDefault="00000000">
            <w:r>
              <w:rPr>
                <w:color w:val="1A1A2E"/>
                <w:sz w:val="19"/>
                <w:szCs w:val="19"/>
              </w:rPr>
              <w:t>12,024</w:t>
            </w:r>
          </w:p>
        </w:tc>
      </w:tr>
      <w:tr w:rsidR="00650C60" w14:paraId="005AB714" w14:textId="77777777">
        <w:tblPrEx>
          <w:tblCellMar>
            <w:top w:w="0" w:type="dxa"/>
            <w:bottom w:w="0" w:type="dxa"/>
          </w:tblCellMar>
        </w:tblPrEx>
        <w:tc>
          <w:tcPr>
            <w:tcW w:w="5200" w:type="dxa"/>
            <w:shd w:val="clear" w:color="auto" w:fill="F0F0F0"/>
            <w:tcMar>
              <w:top w:w="80" w:type="dxa"/>
              <w:left w:w="120" w:type="dxa"/>
              <w:bottom w:w="80" w:type="dxa"/>
              <w:right w:w="120" w:type="dxa"/>
            </w:tcMar>
          </w:tcPr>
          <w:p w14:paraId="188CFC0D" w14:textId="77777777" w:rsidR="00650C60" w:rsidRDefault="00000000">
            <w:r>
              <w:rPr>
                <w:b/>
                <w:bCs/>
                <w:color w:val="1A1A2E"/>
                <w:sz w:val="19"/>
                <w:szCs w:val="19"/>
              </w:rPr>
              <w:t>Mean monthly income — casual labour (KES)</w:t>
            </w:r>
          </w:p>
        </w:tc>
        <w:tc>
          <w:tcPr>
            <w:tcW w:w="3826" w:type="dxa"/>
            <w:tcMar>
              <w:top w:w="80" w:type="dxa"/>
              <w:left w:w="120" w:type="dxa"/>
              <w:bottom w:w="80" w:type="dxa"/>
              <w:right w:w="120" w:type="dxa"/>
            </w:tcMar>
          </w:tcPr>
          <w:p w14:paraId="73AE4A06" w14:textId="77777777" w:rsidR="00650C60" w:rsidRDefault="00000000">
            <w:r>
              <w:rPr>
                <w:color w:val="1A1A2E"/>
                <w:sz w:val="19"/>
                <w:szCs w:val="19"/>
              </w:rPr>
              <w:t>6,476</w:t>
            </w:r>
          </w:p>
        </w:tc>
      </w:tr>
      <w:tr w:rsidR="00650C60" w14:paraId="0B696511" w14:textId="77777777">
        <w:tblPrEx>
          <w:tblCellMar>
            <w:top w:w="0" w:type="dxa"/>
            <w:bottom w:w="0" w:type="dxa"/>
          </w:tblCellMar>
        </w:tblPrEx>
        <w:tc>
          <w:tcPr>
            <w:tcW w:w="5200" w:type="dxa"/>
            <w:shd w:val="clear" w:color="auto" w:fill="F0F0F0"/>
            <w:tcMar>
              <w:top w:w="80" w:type="dxa"/>
              <w:left w:w="120" w:type="dxa"/>
              <w:bottom w:w="80" w:type="dxa"/>
              <w:right w:w="120" w:type="dxa"/>
            </w:tcMar>
          </w:tcPr>
          <w:p w14:paraId="332E2726" w14:textId="77777777" w:rsidR="00650C60" w:rsidRDefault="00000000">
            <w:r>
              <w:rPr>
                <w:b/>
                <w:bCs/>
                <w:color w:val="1A1A2E"/>
                <w:sz w:val="19"/>
                <w:szCs w:val="19"/>
              </w:rPr>
              <w:t>Mean health expense as % of income</w:t>
            </w:r>
          </w:p>
        </w:tc>
        <w:tc>
          <w:tcPr>
            <w:tcW w:w="3826" w:type="dxa"/>
            <w:tcMar>
              <w:top w:w="80" w:type="dxa"/>
              <w:left w:w="120" w:type="dxa"/>
              <w:bottom w:w="80" w:type="dxa"/>
              <w:right w:w="120" w:type="dxa"/>
            </w:tcMar>
          </w:tcPr>
          <w:p w14:paraId="0CA0AF15" w14:textId="77777777" w:rsidR="00650C60" w:rsidRDefault="00000000">
            <w:r>
              <w:rPr>
                <w:color w:val="1A1A2E"/>
                <w:sz w:val="19"/>
                <w:szCs w:val="19"/>
              </w:rPr>
              <w:t>16.0%</w:t>
            </w:r>
          </w:p>
        </w:tc>
      </w:tr>
      <w:tr w:rsidR="00650C60" w14:paraId="13ECFD12" w14:textId="77777777">
        <w:tblPrEx>
          <w:tblCellMar>
            <w:top w:w="0" w:type="dxa"/>
            <w:bottom w:w="0" w:type="dxa"/>
          </w:tblCellMar>
        </w:tblPrEx>
        <w:tc>
          <w:tcPr>
            <w:tcW w:w="5200" w:type="dxa"/>
            <w:shd w:val="clear" w:color="auto" w:fill="F0F0F0"/>
            <w:tcMar>
              <w:top w:w="80" w:type="dxa"/>
              <w:left w:w="120" w:type="dxa"/>
              <w:bottom w:w="80" w:type="dxa"/>
              <w:right w:w="120" w:type="dxa"/>
            </w:tcMar>
          </w:tcPr>
          <w:p w14:paraId="6556E5A3" w14:textId="77777777" w:rsidR="00650C60" w:rsidRDefault="00000000">
            <w:r>
              <w:rPr>
                <w:b/>
                <w:bCs/>
                <w:color w:val="1A1A2E"/>
                <w:sz w:val="19"/>
                <w:szCs w:val="19"/>
              </w:rPr>
              <w:t>Mean care hours per day — no income source</w:t>
            </w:r>
          </w:p>
        </w:tc>
        <w:tc>
          <w:tcPr>
            <w:tcW w:w="3826" w:type="dxa"/>
            <w:tcMar>
              <w:top w:w="80" w:type="dxa"/>
              <w:left w:w="120" w:type="dxa"/>
              <w:bottom w:w="80" w:type="dxa"/>
              <w:right w:w="120" w:type="dxa"/>
            </w:tcMar>
          </w:tcPr>
          <w:p w14:paraId="51B47B5A" w14:textId="77777777" w:rsidR="00650C60" w:rsidRDefault="00000000">
            <w:r>
              <w:rPr>
                <w:color w:val="1A1A2E"/>
                <w:sz w:val="19"/>
                <w:szCs w:val="19"/>
              </w:rPr>
              <w:t>6.8</w:t>
            </w:r>
          </w:p>
        </w:tc>
      </w:tr>
      <w:tr w:rsidR="00650C60" w14:paraId="6D5CF85C" w14:textId="77777777">
        <w:tblPrEx>
          <w:tblCellMar>
            <w:top w:w="0" w:type="dxa"/>
            <w:bottom w:w="0" w:type="dxa"/>
          </w:tblCellMar>
        </w:tblPrEx>
        <w:tc>
          <w:tcPr>
            <w:tcW w:w="5200" w:type="dxa"/>
            <w:shd w:val="clear" w:color="auto" w:fill="F0F0F0"/>
            <w:tcMar>
              <w:top w:w="80" w:type="dxa"/>
              <w:left w:w="120" w:type="dxa"/>
              <w:bottom w:w="80" w:type="dxa"/>
              <w:right w:w="120" w:type="dxa"/>
            </w:tcMar>
          </w:tcPr>
          <w:p w14:paraId="05B5590F" w14:textId="77777777" w:rsidR="00650C60" w:rsidRDefault="00000000">
            <w:r>
              <w:rPr>
                <w:b/>
                <w:bCs/>
                <w:color w:val="1A1A2E"/>
                <w:sz w:val="19"/>
                <w:szCs w:val="19"/>
              </w:rPr>
              <w:t>Mean care hours per day — employed</w:t>
            </w:r>
          </w:p>
        </w:tc>
        <w:tc>
          <w:tcPr>
            <w:tcW w:w="3826" w:type="dxa"/>
            <w:tcMar>
              <w:top w:w="80" w:type="dxa"/>
              <w:left w:w="120" w:type="dxa"/>
              <w:bottom w:w="80" w:type="dxa"/>
              <w:right w:w="120" w:type="dxa"/>
            </w:tcMar>
          </w:tcPr>
          <w:p w14:paraId="19264CCC" w14:textId="77777777" w:rsidR="00650C60" w:rsidRDefault="00000000">
            <w:r>
              <w:rPr>
                <w:color w:val="1A1A2E"/>
                <w:sz w:val="19"/>
                <w:szCs w:val="19"/>
              </w:rPr>
              <w:t>3.7</w:t>
            </w:r>
          </w:p>
        </w:tc>
      </w:tr>
      <w:tr w:rsidR="00650C60" w14:paraId="6A81D0E9" w14:textId="77777777">
        <w:tblPrEx>
          <w:tblCellMar>
            <w:top w:w="0" w:type="dxa"/>
            <w:bottom w:w="0" w:type="dxa"/>
          </w:tblCellMar>
        </w:tblPrEx>
        <w:tc>
          <w:tcPr>
            <w:tcW w:w="5200" w:type="dxa"/>
            <w:shd w:val="clear" w:color="auto" w:fill="F0F0F0"/>
            <w:tcMar>
              <w:top w:w="80" w:type="dxa"/>
              <w:left w:w="120" w:type="dxa"/>
              <w:bottom w:w="80" w:type="dxa"/>
              <w:right w:w="120" w:type="dxa"/>
            </w:tcMar>
          </w:tcPr>
          <w:p w14:paraId="22B0E1DA" w14:textId="77777777" w:rsidR="00650C60" w:rsidRDefault="00000000">
            <w:r>
              <w:rPr>
                <w:b/>
                <w:bCs/>
                <w:color w:val="1A1A2E"/>
                <w:sz w:val="19"/>
                <w:szCs w:val="19"/>
              </w:rPr>
              <w:t>Top enterprise barrier</w:t>
            </w:r>
          </w:p>
        </w:tc>
        <w:tc>
          <w:tcPr>
            <w:tcW w:w="3826" w:type="dxa"/>
            <w:tcMar>
              <w:top w:w="80" w:type="dxa"/>
              <w:left w:w="120" w:type="dxa"/>
              <w:bottom w:w="80" w:type="dxa"/>
              <w:right w:w="120" w:type="dxa"/>
            </w:tcMar>
          </w:tcPr>
          <w:p w14:paraId="76D5288E" w14:textId="77777777" w:rsidR="00650C60" w:rsidRDefault="00000000">
            <w:r>
              <w:rPr>
                <w:color w:val="1A1A2E"/>
                <w:sz w:val="19"/>
                <w:szCs w:val="19"/>
              </w:rPr>
              <w:t>Capital (42.6%)</w:t>
            </w:r>
          </w:p>
        </w:tc>
      </w:tr>
      <w:tr w:rsidR="00650C60" w14:paraId="1E8FA15F" w14:textId="77777777">
        <w:tblPrEx>
          <w:tblCellMar>
            <w:top w:w="0" w:type="dxa"/>
            <w:bottom w:w="0" w:type="dxa"/>
          </w:tblCellMar>
        </w:tblPrEx>
        <w:tc>
          <w:tcPr>
            <w:tcW w:w="5200" w:type="dxa"/>
            <w:shd w:val="clear" w:color="auto" w:fill="F0F0F0"/>
            <w:tcMar>
              <w:top w:w="80" w:type="dxa"/>
              <w:left w:w="120" w:type="dxa"/>
              <w:bottom w:w="80" w:type="dxa"/>
              <w:right w:w="120" w:type="dxa"/>
            </w:tcMar>
          </w:tcPr>
          <w:p w14:paraId="11386845" w14:textId="77777777" w:rsidR="00650C60" w:rsidRDefault="00000000">
            <w:r>
              <w:rPr>
                <w:b/>
                <w:bCs/>
                <w:color w:val="1A1A2E"/>
                <w:sz w:val="19"/>
                <w:szCs w:val="19"/>
              </w:rPr>
              <w:t>Respondents reporting high financial stress</w:t>
            </w:r>
          </w:p>
        </w:tc>
        <w:tc>
          <w:tcPr>
            <w:tcW w:w="3826" w:type="dxa"/>
            <w:tcMar>
              <w:top w:w="80" w:type="dxa"/>
              <w:left w:w="120" w:type="dxa"/>
              <w:bottom w:w="80" w:type="dxa"/>
              <w:right w:w="120" w:type="dxa"/>
            </w:tcMar>
          </w:tcPr>
          <w:p w14:paraId="3C04C894" w14:textId="77777777" w:rsidR="00650C60" w:rsidRDefault="00000000">
            <w:r>
              <w:rPr>
                <w:color w:val="1A1A2E"/>
                <w:sz w:val="19"/>
                <w:szCs w:val="19"/>
              </w:rPr>
              <w:t>53.5%</w:t>
            </w:r>
          </w:p>
        </w:tc>
      </w:tr>
    </w:tbl>
    <w:p w14:paraId="1870D07E" w14:textId="77777777" w:rsidR="00681C5B" w:rsidRDefault="00681C5B" w:rsidP="00681C5B">
      <w:pPr>
        <w:pBdr>
          <w:bottom w:val="single" w:sz="4" w:space="2" w:color="2E4057"/>
        </w:pBdr>
        <w:tabs>
          <w:tab w:val="right" w:pos="9906"/>
        </w:tabs>
        <w:spacing w:before="200" w:after="60"/>
        <w:rPr>
          <w:b/>
          <w:bCs/>
          <w:color w:val="2E4057"/>
        </w:rPr>
      </w:pPr>
    </w:p>
    <w:p w14:paraId="4F46E021" w14:textId="77777777" w:rsidR="00681C5B" w:rsidRDefault="00681C5B" w:rsidP="00681C5B">
      <w:pPr>
        <w:pBdr>
          <w:bottom w:val="single" w:sz="4" w:space="2" w:color="2E4057"/>
        </w:pBdr>
        <w:tabs>
          <w:tab w:val="right" w:pos="9906"/>
        </w:tabs>
        <w:spacing w:before="200" w:after="60"/>
        <w:rPr>
          <w:b/>
          <w:bCs/>
          <w:color w:val="2E4057"/>
        </w:rPr>
      </w:pPr>
    </w:p>
    <w:p w14:paraId="6ACF10A7" w14:textId="3AFB21A7" w:rsidR="00681C5B" w:rsidRPr="00681C5B" w:rsidRDefault="00000000" w:rsidP="00681C5B">
      <w:pPr>
        <w:pBdr>
          <w:bottom w:val="single" w:sz="4" w:space="2" w:color="2E4057"/>
        </w:pBdr>
        <w:tabs>
          <w:tab w:val="right" w:pos="9906"/>
        </w:tabs>
        <w:spacing w:before="200" w:after="60"/>
        <w:rPr>
          <w:b/>
          <w:bCs/>
          <w:color w:val="2E4057"/>
        </w:rPr>
      </w:pPr>
      <w:r>
        <w:rPr>
          <w:b/>
          <w:bCs/>
          <w:color w:val="2E4057"/>
        </w:rPr>
        <w:lastRenderedPageBreak/>
        <w:t>IMPLICATIONS FOR PROGRAMME DESIGN</w:t>
      </w:r>
      <w:r w:rsidR="00681C5B">
        <w:rPr>
          <w:b/>
          <w:bCs/>
          <w:color w:val="2E4057"/>
        </w:rPr>
        <w:tab/>
      </w:r>
    </w:p>
    <w:p w14:paraId="1CAD4559" w14:textId="77777777" w:rsidR="00650C60" w:rsidRDefault="00000000">
      <w:pPr>
        <w:pStyle w:val="ListParagraph"/>
        <w:numPr>
          <w:ilvl w:val="0"/>
          <w:numId w:val="2"/>
        </w:numPr>
        <w:spacing w:before="30" w:after="30"/>
      </w:pPr>
      <w:r>
        <w:rPr>
          <w:color w:val="1A1A2E"/>
        </w:rPr>
        <w:t>Capital access interventions are the most consistently demanded support, cutting across income groups. Linking savings groups to micro-credit or asset-building products may address the top barrier more directly than digital tools alone.</w:t>
      </w:r>
    </w:p>
    <w:p w14:paraId="3E4A3B1A" w14:textId="77777777" w:rsidR="00650C60" w:rsidRDefault="00000000">
      <w:pPr>
        <w:pStyle w:val="ListParagraph"/>
        <w:numPr>
          <w:ilvl w:val="0"/>
          <w:numId w:val="2"/>
        </w:numPr>
        <w:spacing w:before="30" w:after="30"/>
      </w:pPr>
      <w:r>
        <w:rPr>
          <w:color w:val="1A1A2E"/>
        </w:rPr>
        <w:t>Care burdens among women with no income source are nearly double those of employed women. Scheduling of community data collection sessions and financial literacy activities should account for care hours, particularly for the 14% of respondents reporting no income.</w:t>
      </w:r>
    </w:p>
    <w:p w14:paraId="40CA3122" w14:textId="77777777" w:rsidR="00650C60" w:rsidRDefault="00000000">
      <w:pPr>
        <w:pStyle w:val="ListParagraph"/>
        <w:numPr>
          <w:ilvl w:val="0"/>
          <w:numId w:val="2"/>
        </w:numPr>
        <w:spacing w:before="30" w:after="30"/>
      </w:pPr>
      <w:r>
        <w:rPr>
          <w:color w:val="1A1A2E"/>
        </w:rPr>
        <w:t xml:space="preserve">The gap between mobile money access (67%) and smartphone ownership (38%) has implications for the </w:t>
      </w:r>
      <w:proofErr w:type="spellStart"/>
      <w:r>
        <w:rPr>
          <w:color w:val="1A1A2E"/>
        </w:rPr>
        <w:t>FemDigiNomics</w:t>
      </w:r>
      <w:proofErr w:type="spellEnd"/>
      <w:r>
        <w:rPr>
          <w:color w:val="1A1A2E"/>
        </w:rPr>
        <w:t xml:space="preserve"> platform design. Features dependent on smartphone interfaces may exclude a significant share of the target population; USSD or basic phone-compatible pathways should be considered.</w:t>
      </w:r>
    </w:p>
    <w:p w14:paraId="27CBB347" w14:textId="746EDA63" w:rsidR="00650C60" w:rsidRDefault="00000000">
      <w:pPr>
        <w:pBdr>
          <w:top w:val="single" w:sz="4" w:space="2" w:color="CCCCCC"/>
        </w:pBdr>
        <w:spacing w:before="280"/>
        <w:rPr>
          <w:i/>
          <w:iCs/>
          <w:color w:val="555555"/>
          <w:sz w:val="17"/>
          <w:szCs w:val="17"/>
        </w:rPr>
      </w:pPr>
      <w:r>
        <w:rPr>
          <w:i/>
          <w:iCs/>
          <w:color w:val="555555"/>
          <w:sz w:val="17"/>
          <w:szCs w:val="17"/>
        </w:rPr>
        <w:t xml:space="preserve">Data: Synthetic dataset generated for portfolio purposes. Analysis code and raw data available on request. Contact: </w:t>
      </w:r>
      <w:hyperlink r:id="rId5" w:history="1">
        <w:r w:rsidR="00681C5B" w:rsidRPr="00BF147F">
          <w:rPr>
            <w:rStyle w:val="Hyperlink"/>
            <w:i/>
            <w:iCs/>
            <w:sz w:val="17"/>
            <w:szCs w:val="17"/>
          </w:rPr>
          <w:t>14peterthuomuiruri@gmail.com</w:t>
        </w:r>
      </w:hyperlink>
    </w:p>
    <w:p w14:paraId="13822A18" w14:textId="77777777" w:rsidR="00681C5B" w:rsidRDefault="00681C5B">
      <w:pPr>
        <w:pBdr>
          <w:top w:val="single" w:sz="4" w:space="2" w:color="CCCCCC"/>
        </w:pBdr>
        <w:spacing w:before="280"/>
        <w:rPr>
          <w:i/>
          <w:iCs/>
          <w:color w:val="555555"/>
          <w:sz w:val="17"/>
          <w:szCs w:val="17"/>
        </w:rPr>
      </w:pPr>
    </w:p>
    <w:p w14:paraId="64B70AEA" w14:textId="7D732836" w:rsidR="00681C5B" w:rsidRDefault="00681C5B">
      <w:pPr>
        <w:pBdr>
          <w:top w:val="single" w:sz="4" w:space="2" w:color="CCCCCC"/>
        </w:pBdr>
        <w:spacing w:before="280"/>
      </w:pPr>
      <w:r w:rsidRPr="00681C5B">
        <w:drawing>
          <wp:inline distT="0" distB="0" distL="0" distR="0" wp14:anchorId="45DAA6B6" wp14:editId="70C9D8F5">
            <wp:extent cx="6290310" cy="3536315"/>
            <wp:effectExtent l="0" t="0" r="0" b="6985"/>
            <wp:docPr id="163094814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0948140" name=""/>
                    <pic:cNvPicPr/>
                  </pic:nvPicPr>
                  <pic:blipFill>
                    <a:blip r:embed="rId6"/>
                    <a:stretch>
                      <a:fillRect/>
                    </a:stretch>
                  </pic:blipFill>
                  <pic:spPr>
                    <a:xfrm>
                      <a:off x="0" y="0"/>
                      <a:ext cx="6290310" cy="3536315"/>
                    </a:xfrm>
                    <a:prstGeom prst="rect">
                      <a:avLst/>
                    </a:prstGeom>
                  </pic:spPr>
                </pic:pic>
              </a:graphicData>
            </a:graphic>
          </wp:inline>
        </w:drawing>
      </w:r>
    </w:p>
    <w:p w14:paraId="60BE0CF6" w14:textId="77777777" w:rsidR="00681C5B" w:rsidRDefault="00681C5B">
      <w:pPr>
        <w:pBdr>
          <w:top w:val="single" w:sz="4" w:space="2" w:color="CCCCCC"/>
        </w:pBdr>
        <w:spacing w:before="280"/>
      </w:pPr>
    </w:p>
    <w:p w14:paraId="1A91AE2E" w14:textId="29072F69" w:rsidR="00681C5B" w:rsidRDefault="00681C5B">
      <w:pPr>
        <w:pBdr>
          <w:top w:val="single" w:sz="4" w:space="2" w:color="CCCCCC"/>
        </w:pBdr>
        <w:spacing w:before="280"/>
      </w:pPr>
      <w:r w:rsidRPr="00681C5B">
        <w:lastRenderedPageBreak/>
        <w:drawing>
          <wp:inline distT="0" distB="0" distL="0" distR="0" wp14:anchorId="49F6CEF8" wp14:editId="3AAA0ED1">
            <wp:extent cx="6290310" cy="3536315"/>
            <wp:effectExtent l="0" t="0" r="0" b="6985"/>
            <wp:docPr id="132264297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2642973" name=""/>
                    <pic:cNvPicPr/>
                  </pic:nvPicPr>
                  <pic:blipFill>
                    <a:blip r:embed="rId7"/>
                    <a:stretch>
                      <a:fillRect/>
                    </a:stretch>
                  </pic:blipFill>
                  <pic:spPr>
                    <a:xfrm>
                      <a:off x="0" y="0"/>
                      <a:ext cx="6290310" cy="3536315"/>
                    </a:xfrm>
                    <a:prstGeom prst="rect">
                      <a:avLst/>
                    </a:prstGeom>
                  </pic:spPr>
                </pic:pic>
              </a:graphicData>
            </a:graphic>
          </wp:inline>
        </w:drawing>
      </w:r>
    </w:p>
    <w:p w14:paraId="1CBE803A" w14:textId="77777777" w:rsidR="00681C5B" w:rsidRDefault="00681C5B">
      <w:pPr>
        <w:pBdr>
          <w:top w:val="single" w:sz="4" w:space="2" w:color="CCCCCC"/>
        </w:pBdr>
        <w:spacing w:before="280"/>
      </w:pPr>
    </w:p>
    <w:sectPr w:rsidR="00681C5B">
      <w:pgSz w:w="11906" w:h="16838"/>
      <w:pgMar w:top="1000" w:right="1000" w:bottom="1000" w:left="100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Calibri">
    <w:panose1 w:val="020F05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4D27D0E"/>
    <w:multiLevelType w:val="hybridMultilevel"/>
    <w:tmpl w:val="D150A67A"/>
    <w:lvl w:ilvl="0" w:tplc="3A227A06">
      <w:start w:val="1"/>
      <w:numFmt w:val="bullet"/>
      <w:lvlText w:val="●"/>
      <w:lvlJc w:val="left"/>
      <w:pPr>
        <w:ind w:left="720" w:hanging="360"/>
      </w:pPr>
    </w:lvl>
    <w:lvl w:ilvl="1" w:tplc="BBCAB254">
      <w:start w:val="1"/>
      <w:numFmt w:val="bullet"/>
      <w:lvlText w:val="○"/>
      <w:lvlJc w:val="left"/>
      <w:pPr>
        <w:ind w:left="1440" w:hanging="360"/>
      </w:pPr>
    </w:lvl>
    <w:lvl w:ilvl="2" w:tplc="D834D254">
      <w:start w:val="1"/>
      <w:numFmt w:val="bullet"/>
      <w:lvlText w:val="■"/>
      <w:lvlJc w:val="left"/>
      <w:pPr>
        <w:ind w:left="2160" w:hanging="360"/>
      </w:pPr>
    </w:lvl>
    <w:lvl w:ilvl="3" w:tplc="A2484AA2">
      <w:start w:val="1"/>
      <w:numFmt w:val="bullet"/>
      <w:lvlText w:val="●"/>
      <w:lvlJc w:val="left"/>
      <w:pPr>
        <w:ind w:left="2880" w:hanging="360"/>
      </w:pPr>
    </w:lvl>
    <w:lvl w:ilvl="4" w:tplc="95EC2A90">
      <w:start w:val="1"/>
      <w:numFmt w:val="bullet"/>
      <w:lvlText w:val="○"/>
      <w:lvlJc w:val="left"/>
      <w:pPr>
        <w:ind w:left="3600" w:hanging="360"/>
      </w:pPr>
    </w:lvl>
    <w:lvl w:ilvl="5" w:tplc="4E80F26C">
      <w:start w:val="1"/>
      <w:numFmt w:val="bullet"/>
      <w:lvlText w:val="■"/>
      <w:lvlJc w:val="left"/>
      <w:pPr>
        <w:ind w:left="4320" w:hanging="360"/>
      </w:pPr>
    </w:lvl>
    <w:lvl w:ilvl="6" w:tplc="E2102532">
      <w:start w:val="1"/>
      <w:numFmt w:val="bullet"/>
      <w:lvlText w:val="●"/>
      <w:lvlJc w:val="left"/>
      <w:pPr>
        <w:ind w:left="5040" w:hanging="360"/>
      </w:pPr>
    </w:lvl>
    <w:lvl w:ilvl="7" w:tplc="5A54E592">
      <w:start w:val="1"/>
      <w:numFmt w:val="bullet"/>
      <w:lvlText w:val="●"/>
      <w:lvlJc w:val="left"/>
      <w:pPr>
        <w:ind w:left="5760" w:hanging="360"/>
      </w:pPr>
    </w:lvl>
    <w:lvl w:ilvl="8" w:tplc="D5083592">
      <w:start w:val="1"/>
      <w:numFmt w:val="bullet"/>
      <w:lvlText w:val="●"/>
      <w:lvlJc w:val="left"/>
      <w:pPr>
        <w:ind w:left="6480" w:hanging="360"/>
      </w:pPr>
    </w:lvl>
  </w:abstractNum>
  <w:abstractNum w:abstractNumId="1" w15:restartNumberingAfterBreak="0">
    <w:nsid w:val="48D14AC6"/>
    <w:multiLevelType w:val="hybridMultilevel"/>
    <w:tmpl w:val="B53A05F0"/>
    <w:lvl w:ilvl="0" w:tplc="41F4990C">
      <w:start w:val="1"/>
      <w:numFmt w:val="bullet"/>
      <w:lvlText w:val="•"/>
      <w:lvlJc w:val="left"/>
      <w:pPr>
        <w:ind w:left="480" w:hanging="280"/>
      </w:pPr>
    </w:lvl>
    <w:lvl w:ilvl="1" w:tplc="F2FEC43E">
      <w:numFmt w:val="decimal"/>
      <w:lvlText w:val=""/>
      <w:lvlJc w:val="left"/>
    </w:lvl>
    <w:lvl w:ilvl="2" w:tplc="29A4E3D2">
      <w:numFmt w:val="decimal"/>
      <w:lvlText w:val=""/>
      <w:lvlJc w:val="left"/>
    </w:lvl>
    <w:lvl w:ilvl="3" w:tplc="6F00CB36">
      <w:numFmt w:val="decimal"/>
      <w:lvlText w:val=""/>
      <w:lvlJc w:val="left"/>
    </w:lvl>
    <w:lvl w:ilvl="4" w:tplc="5D1ED8A8">
      <w:numFmt w:val="decimal"/>
      <w:lvlText w:val=""/>
      <w:lvlJc w:val="left"/>
    </w:lvl>
    <w:lvl w:ilvl="5" w:tplc="5FE6648E">
      <w:numFmt w:val="decimal"/>
      <w:lvlText w:val=""/>
      <w:lvlJc w:val="left"/>
    </w:lvl>
    <w:lvl w:ilvl="6" w:tplc="1EE6E732">
      <w:numFmt w:val="decimal"/>
      <w:lvlText w:val=""/>
      <w:lvlJc w:val="left"/>
    </w:lvl>
    <w:lvl w:ilvl="7" w:tplc="0696290E">
      <w:numFmt w:val="decimal"/>
      <w:lvlText w:val=""/>
      <w:lvlJc w:val="left"/>
    </w:lvl>
    <w:lvl w:ilvl="8" w:tplc="82CC45F6">
      <w:numFmt w:val="decimal"/>
      <w:lvlText w:val=""/>
      <w:lvlJc w:val="left"/>
    </w:lvl>
  </w:abstractNum>
  <w:num w:numId="1" w16cid:durableId="455442040">
    <w:abstractNumId w:val="0"/>
    <w:lvlOverride w:ilvl="0">
      <w:startOverride w:val="1"/>
    </w:lvlOverride>
  </w:num>
  <w:num w:numId="2" w16cid:durableId="1817648625">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50C60"/>
    <w:rsid w:val="00650C60"/>
    <w:rsid w:val="00681C5B"/>
    <w:rsid w:val="009916AA"/>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0525909"/>
  <w15:docId w15:val="{4105D779-68F4-43E2-B516-8D149F9BDC9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lang w:val="en-GB" w:eastAsia="en-GB"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 w:type="character" w:styleId="UnresolvedMention">
    <w:name w:val="Unresolved Mention"/>
    <w:basedOn w:val="DefaultParagraphFont"/>
    <w:uiPriority w:val="99"/>
    <w:semiHidden/>
    <w:unhideWhenUsed/>
    <w:rsid w:val="00681C5B"/>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2.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1.png"/><Relationship Id="rId5" Type="http://schemas.openxmlformats.org/officeDocument/2006/relationships/hyperlink" Target="mailto:14peterthuomuiruri@gmail.com" TargetMode="Externa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8</TotalTime>
  <Pages>3</Pages>
  <Words>616</Words>
  <Characters>3514</Characters>
  <Application>Microsoft Office Word</Application>
  <DocSecurity>0</DocSecurity>
  <Lines>29</Lines>
  <Paragraphs>8</Paragraphs>
  <ScaleCrop>false</ScaleCrop>
  <Company/>
  <LinksUpToDate>false</LinksUpToDate>
  <CharactersWithSpaces>4122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peter THUO</cp:lastModifiedBy>
  <cp:revision>2</cp:revision>
  <dcterms:created xsi:type="dcterms:W3CDTF">2026-06-22T10:44:00Z</dcterms:created>
  <dcterms:modified xsi:type="dcterms:W3CDTF">2026-07-03T07:46:00Z</dcterms:modified>
</cp:coreProperties>
</file>