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665" w:lineRule="exact"/>
        <w:ind w:left="4460" w:right="0" w:firstLine="0"/>
      </w:pPr>
      <w:r/>
      <w:r>
        <w:rPr baseline="0" dirty="0">
          <w:rFonts w:ascii="Arial" w:hAnsi="Arial" w:cs="Arial"/>
          <w:b/>
          <w:bCs/>
          <w:color w:val="1E3A5F"/>
          <w:sz w:val="72"/>
          <w:szCs w:val="72"/>
          <w:lang w:val="en-US"/>
        </w:rPr>
        <w:t>Quarex  </w:t>
      </w:r>
      <w:r/>
    </w:p>
    <w:p>
      <w:pPr>
        <w:rPr>
          <w:rFonts w:ascii="Times New Roman" w:hAnsi="Times New Roman" w:cs="Times New Roman"/>
          <w:color w:val="010302"/>
        </w:rPr>
        <w:spacing w:before="280" w:after="0" w:line="296" w:lineRule="exact"/>
        <w:ind w:left="4216" w:right="0" w:firstLine="0"/>
      </w:pPr>
      <w:r/>
      <w:r>
        <w:rPr baseline="0" dirty="0">
          <w:rFonts w:ascii="Arial" w:hAnsi="Arial" w:cs="Arial"/>
          <w:i/>
          <w:iCs/>
          <w:color w:val="3D5A80"/>
          <w:spacing w:val="-2"/>
          <w:sz w:val="32"/>
          <w:szCs w:val="32"/>
          <w:lang w:val="en-US"/>
        </w:rPr>
        <w:t>The Curiosity Engine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43" behindDoc="0" locked="0" layoutInCell="1" allowOverlap="1">
            <wp:simplePos x="0" y="0"/>
            <wp:positionH relativeFrom="page">
              <wp:posOffset>2324100</wp:posOffset>
            </wp:positionH>
            <wp:positionV relativeFrom="paragraph">
              <wp:posOffset>91439</wp:posOffset>
            </wp:positionV>
            <wp:extent cx="3124200" cy="180"/>
            <wp:effectExtent l="0" t="0" r="0" b="0"/>
            <wp:wrapNone/>
            <wp:docPr id="100" name="Freeform 1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3124200" cy="180"/>
                    </a:xfrm>
                    <a:custGeom>
                      <a:rect l="l" t="t" r="r" b="b"/>
                      <a:pathLst>
                        <a:path w="3124200" h="180">
                          <a:moveTo>
                            <a:pt x="0" y="0"/>
                          </a:moveTo>
                          <a:lnTo>
                            <a:pt x="3124200" y="0"/>
                          </a:lnTo>
                        </a:path>
                      </a:pathLst>
                    </a:custGeom>
                    <a:noFill/>
                    <a:ln w="25400" cap="rnd" cmpd="sng">
                      <a:solidFill>
                        <a:srgbClr val="1E3A5F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32" w:lineRule="exact"/>
        <w:ind w:left="350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36"/>
          <w:szCs w:val="36"/>
          <w:lang w:val="en-US"/>
        </w:rPr>
        <w:t>Marketing &amp; Early Growth</w:t>
      </w:r>
      <w:r>
        <w:rPr>
          <w:rFonts w:ascii="Times New Roman" w:hAnsi="Times New Roman" w:cs="Times New Roman"/>
          <w:sz w:val="36"/>
          <w:szCs w:val="36"/>
        </w:rPr>
        <w:t> </w:t>
      </w: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32" w:lineRule="exact"/>
        <w:ind w:left="38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36"/>
          <w:szCs w:val="36"/>
          <w:lang w:val="en-US"/>
        </w:rPr>
        <w:t>Request for Proposal</w:t>
      </w:r>
      <w:r>
        <w:rPr>
          <w:rFonts w:ascii="Times New Roman" w:hAnsi="Times New Roman" w:cs="Times New Roman"/>
          <w:sz w:val="36"/>
          <w:szCs w:val="3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440" w:after="0" w:line="258" w:lineRule="exact"/>
        <w:ind w:left="4772" w:right="4670" w:firstLine="0"/>
        <w:jc w:val="right"/>
      </w:pPr>
      <w:r/>
      <w:r>
        <w:rPr baseline="0" dirty="0">
          <w:rFonts w:ascii="Arial" w:hAnsi="Arial" w:cs="Arial"/>
          <w:color w:val="333333"/>
          <w:spacing w:val="-2"/>
          <w:sz w:val="28"/>
          <w:szCs w:val="28"/>
          <w:lang w:val="en-US"/>
        </w:rPr>
        <w:t>January 2026</w:t>
      </w:r>
      <w:r>
        <w:rPr>
          <w:rFonts w:ascii="Times New Roman" w:hAnsi="Times New Roman" w:cs="Times New Roman"/>
          <w:sz w:val="28"/>
          <w:szCs w:val="28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28"/>
          <w:szCs w:val="28"/>
          <w:lang w:val="en-US"/>
        </w:rPr>
        <w:t>Why This Matters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1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03" w:lineRule="exact"/>
        <w:ind w:left="1280" w:right="0" w:firstLine="0"/>
      </w:pPr>
      <w:r/>
      <w:r>
        <w:rPr baseline="0" dirty="0">
          <w:rFonts w:ascii="Arial" w:hAnsi="Arial" w:cs="Arial"/>
          <w:i/>
          <w:iCs/>
          <w:color w:val="666666"/>
          <w:sz w:val="22"/>
          <w:szCs w:val="22"/>
          <w:lang w:val="en-US"/>
        </w:rPr>
        <w:t>"The internet was supposed to be humanity's greatest library. Instead, it became a</w:t>
      </w:r>
      <w:r>
        <w:rPr>
          <w:rFonts w:ascii="Times New Roman" w:hAnsi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" w:after="0" w:line="320" w:lineRule="exact"/>
        <w:ind w:left="1280" w:right="1220" w:firstLine="0"/>
      </w:pPr>
      <w:r/>
      <w:r>
        <w:rPr baseline="0" dirty="0">
          <w:rFonts w:ascii="Arial" w:hAnsi="Arial" w:cs="Arial"/>
          <w:i/>
          <w:iCs/>
          <w:color w:val="666666"/>
          <w:sz w:val="22"/>
          <w:szCs w:val="22"/>
          <w:lang w:val="en-US"/>
        </w:rPr>
        <w:t>casino of attention, where algorithms optimize for engagement over understanding.</w:t>
      </w:r>
      <w:r>
        <w:rPr>
          <w:rFonts w:ascii="Times New Roman" w:hAnsi="Times New Roman" w:cs="Times New Roman"/>
          <w:sz w:val="22"/>
          <w:szCs w:val="22"/>
        </w:rPr>
        <w:t> </w:t>
      </w:r>
      <w:r/>
      <w:r>
        <w:rPr baseline="0" dirty="0">
          <w:rFonts w:ascii="Arial" w:hAnsi="Arial" w:cs="Arial"/>
          <w:i/>
          <w:iCs/>
          <w:color w:val="666666"/>
          <w:sz w:val="22"/>
          <w:szCs w:val="22"/>
          <w:lang w:val="en-US"/>
        </w:rPr>
        <w:t>Quarex is my attempt to build what should have existed from the start: a place where</w:t>
      </w:r>
      <w:r>
        <w:rPr>
          <w:rFonts w:ascii="Times New Roman" w:hAnsi="Times New Roman" w:cs="Times New Roman"/>
          <w:sz w:val="22"/>
          <w:szCs w:val="22"/>
        </w:rPr>
        <w:t> </w:t>
      </w:r>
      <w:r/>
      <w:r>
        <w:rPr baseline="0" dirty="0">
          <w:rFonts w:ascii="Arial" w:hAnsi="Arial" w:cs="Arial"/>
          <w:i/>
          <w:iCs/>
          <w:color w:val="666666"/>
          <w:spacing w:val="-1"/>
          <w:sz w:val="22"/>
          <w:szCs w:val="22"/>
          <w:lang w:val="en-US"/>
        </w:rPr>
        <w:t>curiosity leads to clarity, not confusion. I'm 73 years old. I don't need this to make money.</w:t>
      </w:r>
      <w:r>
        <w:rPr>
          <w:rFonts w:ascii="Times New Roman" w:hAnsi="Times New Roman" w:cs="Times New Roman"/>
          <w:sz w:val="22"/>
          <w:szCs w:val="22"/>
        </w:rPr>
        <w:t> </w:t>
      </w:r>
      <w:r/>
      <w:r>
        <w:rPr baseline="0" dirty="0">
          <w:rFonts w:ascii="Arial" w:hAnsi="Arial" w:cs="Arial"/>
          <w:i/>
          <w:iCs/>
          <w:color w:val="666666"/>
          <w:sz w:val="22"/>
          <w:szCs w:val="22"/>
          <w:lang w:val="en-US"/>
        </w:rPr>
        <w:t>I need it to matter."</w:t>
      </w:r>
      <w:r>
        <w:rPr>
          <w:rFonts w:ascii="Times New Roman" w:hAnsi="Times New Roman" w:cs="Times New Roman"/>
          <w:sz w:val="22"/>
          <w:szCs w:val="22"/>
        </w:rPr>
        <w:t> </w:t>
      </w:r>
      <w:r/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6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— Peter Nehl, Founder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28"/>
          <w:szCs w:val="28"/>
          <w:lang w:val="en-US"/>
        </w:rPr>
        <w:t>1. Overview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0" w:lineRule="exact"/>
        <w:ind w:left="680" w:right="678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Quarex is an AI-powered knowledge exploration platform that helps people understand complex topics through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structured, question-driven "Living Books." Each book is organized into libraries, chapters, and follow-up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questions—allowing readers to go deeper, sideways, or outward while keeping context.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78" w:after="0" w:line="280" w:lineRule="exact"/>
        <w:ind w:left="680" w:right="801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The platform is free to the public, founder-funded, and IP-secured. We are entering an early growth and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validation phase and seek a small, multidisciplinary marketing agency to help clarify the brand, drive adoption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among our target users, and iterate based on evidence.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2. What Makes Quarex Different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0" w:lineRule="exact"/>
        <w:ind w:left="680" w:right="651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Unlike ChatGPT or Perplexity, Quarex doesn't just answer questions—it structures knowledge into explorable,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persistent artifacts. Unlike Wikipedia, content is dynamically generated and personalized to the reader's path of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inquiry. Unlike traditional search, there are no ads, no tracking, and no algorithmic manipulation.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78" w:after="0" w:line="280" w:lineRule="exact"/>
        <w:ind w:left="680" w:right="1085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The core innovation is the "iceberg method": every answer generates follow-up questions, allowing infinite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exploration depth while maintaining coherent context. Users don't just get answers—they develop genuine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understanding.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28"/>
          <w:szCs w:val="28"/>
          <w:lang w:val="en-US"/>
        </w:rPr>
        <w:t>3. Target Audience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1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03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D5A80"/>
          <w:sz w:val="22"/>
          <w:szCs w:val="22"/>
          <w:lang w:val="en-US"/>
        </w:rPr>
        <w:t>Primary (first 1,000 users):</w:t>
      </w:r>
      <w:r>
        <w:rPr>
          <w:rFonts w:ascii="Times New Roman" w:hAnsi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60" w:after="0" w:line="185" w:lineRule="exact"/>
        <w:ind w:left="1000" w:right="955" w:firstLine="0"/>
        <w:jc w:val="right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Curious autodidacts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— self-directed learners who read longform content and value depth over speed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3" w:after="0" w:line="280" w:lineRule="exact"/>
        <w:ind w:left="1080" w:right="632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Educators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— teachers, professors, and instructional designers seeking structured resources for complex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topics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3" w:after="0" w:line="280" w:lineRule="exact"/>
        <w:ind w:left="1080" w:right="632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Policy researchers &amp; analysts</w:t>
      </w:r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 — professionals who need to understand contested issues from multiple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angles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203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D5A80"/>
          <w:spacing w:val="-1"/>
          <w:sz w:val="22"/>
          <w:szCs w:val="22"/>
          <w:lang w:val="en-US"/>
        </w:rPr>
        <w:t>Secondary (growth to 10,000):</w:t>
      </w:r>
      <w:r>
        <w:rPr>
          <w:rFonts w:ascii="Times New Roman" w:hAnsi="Times New Roman" w:cs="Times New Roman"/>
          <w:sz w:val="22"/>
          <w:szCs w:val="22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1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0" w:lineRule="exact"/>
        <w:ind w:left="1080" w:right="5878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• Graduate students and academic researchers</w:t>
      </w:r>
      <w:r>
        <w:rPr>
          <w:rFonts w:ascii="Times New Roman" w:hAnsi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Journalists covering complex beats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Librarians and knowledge workers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28"/>
          <w:szCs w:val="28"/>
          <w:lang w:val="en-US"/>
        </w:rPr>
        <w:t>4. Success Metrics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6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We define success by depth of engagement, not vanity metrics: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6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tbl>
      <w:tblPr>
        <w:tblStyle w:val="TableGrid"/>
        <w:tblLayout w:type="fixed"/>
        <w:tblpPr w:leftFromText="0" w:rightFromText="0" w:vertAnchor="text" w:horzAnchor="page" w:tblpX="1800" w:tblpY="0"/>
        <w:tblOverlap w:val="never"/>
        "
        <w:tblW w:w="8620" w:type="dxa"/>
        <w:tblLook w:val="04A0" w:firstRow="1" w:lastRow="0" w:firstColumn="1" w:lastColumn="0" w:noHBand="0" w:noVBand="1"/>
      </w:tblPr>
      <w:tblGrid>
        <w:gridCol w:w="2160"/>
        <w:gridCol w:w="4320"/>
        <w:gridCol w:w="2160"/>
      </w:tblGrid>
      <w:tr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Metric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Definition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Target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Active User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Visited 2+ times in 30 days, explored 3+ topics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1,000 by month 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Session Depth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Average iceberg levels explored per session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8" w:after="128" w:line="240" w:lineRule="auto"/>
              <w:ind w:left="140" w:right="-18" w:firstLine="0"/>
            </w:pPr>
            <w:r/>
            <w:r>
              <w:rPr baseline="0" dirty="0">
                <w:rFonts w:ascii="Symbol" w:hAnsi="Symbol" w:cs="Symbol"/>
                <w:color w:val="000000"/>
                <w:sz w:val="18"/>
                <w:szCs w:val="18"/>
                <w:lang w:val="en-US"/>
              </w:rPr>
              <w:t>≥</w:t>
            </w:r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3 levels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Return Rate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% of users returning within 14 days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8" w:after="128" w:line="240" w:lineRule="auto"/>
              <w:ind w:left="140" w:right="-18" w:firstLine="0"/>
            </w:pPr>
            <w:r/>
            <w:r>
              <w:rPr baseline="0" dirty="0">
                <w:rFonts w:ascii="Symbol" w:hAnsi="Symbol" w:cs="Symbol"/>
                <w:color w:val="000000"/>
                <w:sz w:val="18"/>
                <w:szCs w:val="18"/>
                <w:lang w:val="en-US"/>
              </w:rPr>
              <w:t>≥</w:t>
            </w:r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40%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Organic Sharing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Users who share links or mention Quarex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Track &amp; grow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460"/>
        </w:trPr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Creator Adoption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432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Users who build their own Living Books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50+ by month 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2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202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5. Engagement Objectives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1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70" w:lineRule="exact"/>
        <w:ind w:left="1080" w:right="1111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Brand Clarity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—Translate "Living Books" and the iceberg method into language that resonates with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target users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Multi-Channel Execution</w:t>
      </w:r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 — Coordinated marketing with justified channel selection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Thoughtful Adoption</w:t>
      </w:r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 — Attract users who will explore deeply and return, not drive-by visitors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Recursive Iteration</w:t>
      </w:r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 — Test, measure, adjust continuously based on the metrics above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5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28"/>
          <w:szCs w:val="28"/>
          <w:lang w:val="en-US"/>
        </w:rPr>
        <w:t>6. Existing Assets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18" w:after="0" w:line="359" w:lineRule="exact"/>
        <w:ind w:left="1080" w:right="1076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8,000 YouTube subscribers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from previous educational content — available for launch amplification</w:t>
      </w:r>
      <w:r>
        <w:rPr>
          <w:rFonts w:ascii="Times New Roman" w:hAnsi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Complete platform</w:t>
      </w:r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 with thousands of explorable topics across 10 languages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Creator Tools</w:t>
      </w:r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 allowing anyone to build their own Living Books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</w:t>
      </w:r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Technical specification</w:t>
      </w:r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 documenting the Quarex architecture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0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7. Live Platform References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6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Agencies should review the live platform before proposing: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Main site: </w:t>
      </w:r>
      <w:hyperlink r:id="rId101" w:history="1">
        <w:r>
          <w:rPr baseline="0" dirty="0">
            <w:rFonts w:ascii="Arial" w:hAnsi="Arial" w:cs="Arial"/>
            <w:color w:val="333333"/>
            <w:sz w:val="20"/>
            <w:szCs w:val="20"/>
            <w:lang w:val="en-US"/>
          </w:rPr>
          <w:t>https://quarex.org/</w:t>
        </w:r>
      </w:hyperlink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Technical specification: </w:t>
      </w:r>
      <w:hyperlink r:id="rId102" w:history="1">
        <w:r>
          <w:rPr baseline="0" dirty="0">
            <w:rFonts w:ascii="Arial" w:hAnsi="Arial" w:cs="Arial"/>
            <w:color w:val="333333"/>
            <w:sz w:val="20"/>
            <w:szCs w:val="20"/>
            <w:lang w:val="en-US"/>
          </w:rPr>
          <w:t>https://quarex.org/spec/</w:t>
        </w:r>
      </w:hyperlink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Libraries index: </w:t>
      </w:r>
      <w:hyperlink r:id="rId103" w:history="1">
        <w:r>
          <w:rPr baseline="0" dirty="0">
            <w:rFonts w:ascii="Arial" w:hAnsi="Arial" w:cs="Arial"/>
            <w:color w:val="333333"/>
            <w:sz w:val="20"/>
            <w:szCs w:val="20"/>
            <w:lang w:val="en-US"/>
          </w:rPr>
          <w:t>https://quarex.org/libraries/</w:t>
        </w:r>
      </w:hyperlink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Creator Tools: </w:t>
      </w:r>
      <w:hyperlink r:id="rId104" w:history="1">
        <w:r>
          <w:rPr baseline="0" dirty="0">
            <w:rFonts w:ascii="Arial" w:hAnsi="Arial" w:cs="Arial"/>
            <w:color w:val="333333"/>
            <w:sz w:val="20"/>
            <w:szCs w:val="20"/>
            <w:lang w:val="en-US"/>
          </w:rPr>
          <w:t>https://quarex.org/tools/</w:t>
        </w:r>
      </w:hyperlink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• Example Living Book: Technologies That Made Us Human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28"/>
          <w:szCs w:val="28"/>
          <w:lang w:val="en-US"/>
        </w:rPr>
        <w:t>8. Scope of Work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0" w:lineRule="exact"/>
        <w:ind w:left="680" w:right="1535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Brand &amp; Positioning: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Refine narrative, translate abstract concepts into accessible language, ensure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cross-channel consistency.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Multi-Channel Marketing: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Execute across appropriate channels with justified selection and budget allocation.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Measurement &amp; Analytics: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Implement tracking for the metrics defined in Section 4.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Reporting: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Bi-weekly written reports explaining results, insights, and proposed adjustments.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Iteration: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Continuous strategy adjustment based on data.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2"/>
          <w:sz w:val="28"/>
          <w:szCs w:val="28"/>
          <w:lang w:val="en-US"/>
        </w:rPr>
        <w:t>9. Budget &amp; Timeline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17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tbl>
      <w:tblPr>
        <w:tblStyle w:val="TableGrid"/>
        <w:tblLayout w:type="fixed"/>
        <w:tblpPr w:leftFromText="0" w:rightFromText="0" w:vertAnchor="text" w:horzAnchor="page" w:tblpX="1656" w:tblpY="0"/>
        <w:tblOverlap w:val="never"/>
        "
        <w:tblW w:w="8908" w:type="dxa"/>
        <w:tblLook w:val="04A0" w:firstRow="1" w:lastRow="0" w:firstColumn="1" w:lastColumn="0" w:noHBand="0" w:noVBand="1"/>
      </w:tblPr>
      <w:tblGrid>
        <w:gridCol w:w="1728"/>
        <w:gridCol w:w="1583"/>
        <w:gridCol w:w="1871"/>
        <w:gridCol w:w="2160"/>
        <w:gridCol w:w="1584"/>
      </w:tblGrid>
      <w:tr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Phase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Duration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Agency Fee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Ad Spend Budget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E3A5F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b/>
                <w:bCs/>
                <w:color w:val="FFFFFF"/>
                <w:spacing w:val="-1"/>
                <w:sz w:val="18"/>
                <w:szCs w:val="18"/>
                <w:lang w:val="en-US"/>
              </w:rPr>
              <w:t>Total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Phase 1: Launch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Months 1-3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$5,000/month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Up to $2,000/month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$7,000/month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  <w:tr>
        <w:trPr>
          <w:trHeight w:hRule="exact" w:val="460"/>
        </w:trPr>
        <w:tc>
          <w:tcPr>
            <w:tcW w:w="1728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Phase 2: Sustain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58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Months 4+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87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$2,500/month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216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Based on Phase 1 ROI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  <w:tc>
          <w:tcPr>
            <w:tcW w:w="158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5F5F5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0" w:after="143" w:line="240" w:lineRule="auto"/>
              <w:ind w:left="140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"/>
                <w:sz w:val="18"/>
                <w:szCs w:val="18"/>
                <w:lang w:val="en-US"/>
              </w:rPr>
              <w:t>TBD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6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200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Timeline: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90-day initial engagement. Planned start: January 2026 (flexible).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10. Ideal Agency Profile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6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We seek a small, multidisciplinary team (3-8 people) with: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3" w:after="0" w:line="360" w:lineRule="exact"/>
        <w:ind w:left="1080" w:right="341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• Experience marketing intellectual, educational, or mission-driven products</w:t>
      </w:r>
      <w:r>
        <w:rPr>
          <w:rFonts w:ascii="Times New Roman" w:hAnsi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Comfort working in a founder-led, iterative environment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Track record with similar budget ranges and early-stage products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Ability to translate complex ideas into accessible messaging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11. What We're Not Looking For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• Solo freelancers or single-person shops</w:t>
      </w:r>
      <w:r>
        <w:rPr>
          <w:rFonts w:ascii="Times New Roman" w:hAnsi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8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Hype-driven growth tactics or viral-first strategies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8" w:after="0" w:line="360" w:lineRule="exact"/>
        <w:ind w:left="1080" w:right="4469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• Opaque metrics, vanity KPIs, or "impressions" without context</w:t>
      </w:r>
      <w:r>
        <w:rPr>
          <w:rFonts w:ascii="Times New Roman" w:hAnsi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Any arrangement requiring IP transfer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12. IP, Confidentiality &amp; Ownership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6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80" w:lineRule="exact"/>
        <w:ind w:left="680" w:right="1891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All deliverables are work-for-hire. All Quarex intellectual property remains solely with the founder.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Confidentiality required.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13. Proposal Requirements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6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Proposals should include: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13" w:after="0" w:line="360" w:lineRule="exact"/>
        <w:ind w:left="1080" w:right="3677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• Agency background and team structure (who will work on this account)</w:t>
      </w:r>
      <w:r>
        <w:rPr>
          <w:rFonts w:ascii="Times New Roman" w:hAnsi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2-3 relevant case studies with measurable outcomes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Proposed 90-day strategy outline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Budget breakdown (agency fees vs. recommended ad spend)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Reporting approach and communication cadence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Primary point of contact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14. Evaluation Criteria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680" w:right="0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Proposals will be evaluated on: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Understanding of the product and target audience (30%)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60" w:after="0" w:line="185" w:lineRule="exact"/>
        <w:ind w:left="1080" w:right="0" w:firstLine="0"/>
      </w:pP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Quality and relevance of case studies (25%)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8" w:after="0" w:line="360" w:lineRule="exact"/>
        <w:ind w:left="1080" w:right="4744" w:firstLine="0"/>
      </w:pPr>
      <w:r/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• Strategic clarity and creativity of proposed approach (25%)</w:t>
      </w:r>
      <w:r>
        <w:rPr>
          <w:rFonts w:ascii="Times New Roman" w:hAnsi="Times New Roman" w:cs="Times New Roman"/>
          <w:sz w:val="20"/>
          <w:szCs w:val="20"/>
        </w:rPr>
        <w:t> </w:t>
      </w:r>
      <w:r>
        <w:br w:type="textWrapping" w:clear="all"/>
      </w:r>
      <w:r/>
      <w:r>
        <w:rPr baseline="0" dirty="0">
          <w:rFonts w:ascii="Arial" w:hAnsi="Arial" w:cs="Arial"/>
          <w:color w:val="333333"/>
          <w:sz w:val="20"/>
          <w:szCs w:val="20"/>
          <w:lang w:val="en-US"/>
        </w:rPr>
        <w:t>• Value alignment with Quarex's mission (20%)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4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58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1E3A5F"/>
          <w:spacing w:val="-1"/>
          <w:sz w:val="28"/>
          <w:szCs w:val="28"/>
          <w:lang w:val="en-US"/>
        </w:rPr>
        <w:t>15. Submission Details</w:t>
      </w:r>
      <w:r>
        <w:rPr>
          <w:rFonts w:ascii="Times New Roman" w:hAnsi="Times New Roman" w:cs="Times New Roman"/>
          <w:sz w:val="28"/>
          <w:szCs w:val="28"/>
        </w:rPr>
        <w:t> </w:t>
      </w:r>
      <w:r/>
    </w:p>
    <w:p>
      <w:pPr>
        <w:spacing w:after="8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Format:</w:t>
      </w:r>
      <w:r>
        <w:rPr baseline="0" dirty="0">
          <w:rFonts w:ascii="Arial" w:hAnsi="Arial" w:cs="Arial"/>
          <w:color w:val="333333"/>
          <w:spacing w:val="-6"/>
          <w:sz w:val="20"/>
          <w:szCs w:val="20"/>
          <w:lang w:val="en-US"/>
        </w:rPr>
        <w:t> PDF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Subject line:</w:t>
      </w:r>
      <w:r>
        <w:rPr baseline="0" dirty="0">
          <w:rFonts w:ascii="Arial" w:hAnsi="Arial" w:cs="Arial"/>
          <w:color w:val="333333"/>
          <w:spacing w:val="-1"/>
          <w:sz w:val="20"/>
          <w:szCs w:val="20"/>
          <w:lang w:val="en-US"/>
        </w:rPr>
        <w:t> "Quarex Marketing RFP — [Agency Name]"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Deadline:</w:t>
      </w:r>
      <w:r>
        <w:rPr baseline="0" dirty="0">
          <w:rFonts w:ascii="Arial" w:hAnsi="Arial" w:cs="Arial"/>
          <w:color w:val="333333"/>
          <w:spacing w:val="-2"/>
          <w:sz w:val="20"/>
          <w:szCs w:val="20"/>
          <w:lang w:val="en-US"/>
        </w:rPr>
        <w:t> January 15, 2026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55" w:after="0" w:line="185" w:lineRule="exact"/>
        <w:ind w:left="680" w:right="0" w:firstLine="0"/>
      </w:pPr>
      <w:r/>
      <w:r>
        <w:rPr baseline="0" dirty="0">
          <w:rFonts w:ascii="Arial" w:hAnsi="Arial" w:cs="Arial"/>
          <w:b/>
          <w:bCs/>
          <w:color w:val="333333"/>
          <w:sz w:val="20"/>
          <w:szCs w:val="20"/>
          <w:lang w:val="en-US"/>
        </w:rPr>
        <w:t>Contact:</w:t>
      </w:r>
      <w:r>
        <w:rPr baseline="0" dirty="0">
          <w:rFonts w:ascii="Arial" w:hAnsi="Arial" w:cs="Arial"/>
          <w:color w:val="333333"/>
          <w:spacing w:val="-2"/>
          <w:sz w:val="20"/>
          <w:szCs w:val="20"/>
          <w:lang w:val="en-US"/>
        </w:rPr>
        <w:t> [To be provided]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/>
    </w:p>
    <w:p>
      <w:pPr>
        <w:spacing w:after="19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w:drawing>
          <wp:anchor simplePos="0" relativeHeight="251658270" behindDoc="0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140970</wp:posOffset>
            </wp:positionV>
            <wp:extent cx="6248400" cy="180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248400" cy="180"/>
                    </a:xfrm>
                    <a:custGeom>
                      <a:rect l="l" t="t" r="r" b="b"/>
                      <a:pathLst>
                        <a:path w="6248400" h="180">
                          <a:moveTo>
                            <a:pt x="0" y="0"/>
                          </a:moveTo>
                          <a:lnTo>
                            <a:pt x="6248400" y="0"/>
                          </a:lnTo>
                        </a:path>
                      </a:pathLst>
                    </a:custGeom>
                    <a:noFill/>
                    <a:ln w="12700" cap="rnd" cmpd="sng">
                      <a:solidFill>
                        <a:srgbClr val="666666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2240" w:h="15840"/>
          <w:pgMar w:top="343" w:right="500" w:bottom="275" w:left="500" w:header="708" w:footer="708" w:gutter="0"/>
          <w:docGrid w:linePitch="360"/>
        </w:sectPr>
        <w:spacing w:before="0" w:after="0" w:line="166" w:lineRule="exact"/>
        <w:ind w:left="3622" w:right="0" w:firstLine="0"/>
      </w:pPr>
      <w:r/>
      <w:r>
        <w:rPr baseline="0" dirty="0">
          <w:rFonts w:ascii="Arial" w:hAnsi="Arial" w:cs="Arial"/>
          <w:color w:val="666666"/>
          <w:spacing w:val="-1"/>
          <w:sz w:val="18"/>
          <w:szCs w:val="18"/>
          <w:lang w:val="en-US"/>
        </w:rPr>
        <w:t>© 2025 Quarex / Peter Nehl. All Rights Reserved.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r/>
    </w:p>
    <w:sectPr>
      <w:type w:val="continuous"/>
      <w:pgSz w:w="12240" w:h="15840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101" Type="http://schemas.openxmlformats.org/officeDocument/2006/relationships/hyperlink" TargetMode="External" Target="https://quarex.org/"/><Relationship Id="rId102" Type="http://schemas.openxmlformats.org/officeDocument/2006/relationships/hyperlink" TargetMode="External" Target="https://quarex.org/spec/"/><Relationship Id="rId103" Type="http://schemas.openxmlformats.org/officeDocument/2006/relationships/hyperlink" TargetMode="External" Target="https://quarex.org/libraries/"/><Relationship Id="rId104" Type="http://schemas.openxmlformats.org/officeDocument/2006/relationships/hyperlink" TargetMode="External" Target="https://quarex.org/tools/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2025-12-18T14:22:45Z</dcterms:created>
  <dcterms:modified xsi:type="dcterms:W3CDTF">2025-12-18T14:22:45Z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