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5C283E" w14:textId="2C95C0B0" w:rsidR="00D43D95" w:rsidRPr="00D43D95" w:rsidRDefault="00D43D95" w:rsidP="00D43D95">
      <w:pPr>
        <w:pStyle w:val="ListParagraph"/>
        <w:jc w:val="center"/>
        <w:rPr>
          <w:rFonts w:ascii="Times New Roman" w:eastAsiaTheme="minorEastAsia" w:hAnsi="Times New Roman" w:cs="Times New Roman"/>
          <w:b/>
          <w:sz w:val="24"/>
          <w:szCs w:val="24"/>
        </w:rPr>
      </w:pPr>
      <w:r w:rsidRPr="00D43D95">
        <w:rPr>
          <w:rFonts w:ascii="Times New Roman" w:eastAsiaTheme="minorEastAsia" w:hAnsi="Times New Roman" w:cs="Times New Roman"/>
          <w:b/>
          <w:sz w:val="24"/>
          <w:szCs w:val="24"/>
        </w:rPr>
        <w:t>Mark L. Wheeler, Jr.</w:t>
      </w:r>
    </w:p>
    <w:p w14:paraId="2580CB4F" w14:textId="77777777" w:rsidR="00D43D95" w:rsidRPr="00D43D95" w:rsidRDefault="00D43D95" w:rsidP="00D43D95">
      <w:pPr>
        <w:pStyle w:val="ListParagraph"/>
        <w:rPr>
          <w:rFonts w:ascii="Times New Roman" w:eastAsiaTheme="minorEastAsia" w:hAnsi="Times New Roman" w:cs="Times New Roman"/>
          <w:sz w:val="24"/>
          <w:szCs w:val="24"/>
        </w:rPr>
      </w:pPr>
    </w:p>
    <w:p w14:paraId="5904680B" w14:textId="77777777" w:rsidR="00D43D95" w:rsidRPr="00D43D95" w:rsidRDefault="00D43D95" w:rsidP="00D43D95">
      <w:pPr>
        <w:pStyle w:val="ListParagraph"/>
        <w:ind w:left="0"/>
        <w:rPr>
          <w:rFonts w:ascii="Times New Roman" w:eastAsiaTheme="minorEastAsia" w:hAnsi="Times New Roman" w:cs="Times New Roman"/>
          <w:b/>
          <w:sz w:val="24"/>
          <w:szCs w:val="24"/>
        </w:rPr>
      </w:pPr>
      <w:r w:rsidRPr="00D43D95">
        <w:rPr>
          <w:rFonts w:ascii="Times New Roman" w:eastAsiaTheme="minorEastAsia" w:hAnsi="Times New Roman" w:cs="Times New Roman"/>
          <w:b/>
          <w:sz w:val="24"/>
          <w:szCs w:val="24"/>
        </w:rPr>
        <w:t xml:space="preserve">Areas of Practice </w:t>
      </w:r>
    </w:p>
    <w:p w14:paraId="19185FBD"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571DA528" w14:textId="77777777" w:rsidR="00D43D95" w:rsidRPr="00D43D95" w:rsidRDefault="00D43D95" w:rsidP="00D43D95">
      <w:pPr>
        <w:pStyle w:val="ListParagraph"/>
        <w:ind w:left="0"/>
        <w:rPr>
          <w:rFonts w:ascii="Times New Roman" w:eastAsiaTheme="minorEastAsia" w:hAnsi="Times New Roman" w:cs="Times New Roman"/>
          <w:b/>
          <w:sz w:val="24"/>
          <w:szCs w:val="24"/>
        </w:rPr>
      </w:pPr>
      <w:r w:rsidRPr="00D43D95">
        <w:rPr>
          <w:rFonts w:ascii="Times New Roman" w:eastAsiaTheme="minorEastAsia" w:hAnsi="Times New Roman" w:cs="Times New Roman"/>
          <w:b/>
          <w:sz w:val="24"/>
          <w:szCs w:val="24"/>
        </w:rPr>
        <w:t xml:space="preserve">Real Estate </w:t>
      </w:r>
    </w:p>
    <w:p w14:paraId="2755E505"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253FC377" w14:textId="7F04FCA7"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Commercial Evictions </w:t>
      </w:r>
    </w:p>
    <w:p w14:paraId="1A3A6D1F" w14:textId="5F38DB31"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Residential Lease Review and Drafting </w:t>
      </w:r>
    </w:p>
    <w:p w14:paraId="4E78FD47" w14:textId="233DDD57"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Shopping Mall and Other Commercial Leases </w:t>
      </w:r>
    </w:p>
    <w:p w14:paraId="12995D6B" w14:textId="176113B9"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Cell Tower Leases </w:t>
      </w:r>
    </w:p>
    <w:p w14:paraId="20A1966F" w14:textId="023E4DC4"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Lease Workouts </w:t>
      </w:r>
    </w:p>
    <w:p w14:paraId="7214DB84" w14:textId="2B3A1C77"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Purchasing and Selling Property </w:t>
      </w:r>
    </w:p>
    <w:p w14:paraId="253643D3" w14:textId="6F62C6EA"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Easements and Restrictive Covenants </w:t>
      </w:r>
    </w:p>
    <w:p w14:paraId="2DD4CCA5" w14:textId="3B75ED01"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Purchase and Sale Agreements </w:t>
      </w:r>
    </w:p>
    <w:p w14:paraId="57BBAB5C" w14:textId="36120BB7"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Lease Review and Drafting </w:t>
      </w:r>
    </w:p>
    <w:p w14:paraId="55A9C4F5" w14:textId="6D5848D7"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Residential Evictions </w:t>
      </w:r>
    </w:p>
    <w:p w14:paraId="6CF5D15B" w14:textId="6EEF4661"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Boundary Line Disputes </w:t>
      </w:r>
      <w:bookmarkStart w:id="0" w:name="_GoBack"/>
      <w:bookmarkEnd w:id="0"/>
    </w:p>
    <w:p w14:paraId="7F5FD38D" w14:textId="43B0C9D9"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Environmental / Hazardous Waste Matters </w:t>
      </w:r>
    </w:p>
    <w:p w14:paraId="1A43C6A1"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3527D273" w14:textId="77777777" w:rsidR="00D43D95" w:rsidRPr="00D43D95" w:rsidRDefault="00D43D95" w:rsidP="00D43D95">
      <w:pPr>
        <w:pStyle w:val="ListParagraph"/>
        <w:ind w:left="0"/>
        <w:rPr>
          <w:rFonts w:ascii="Times New Roman" w:eastAsiaTheme="minorEastAsia" w:hAnsi="Times New Roman" w:cs="Times New Roman"/>
          <w:b/>
          <w:sz w:val="24"/>
          <w:szCs w:val="24"/>
        </w:rPr>
      </w:pPr>
      <w:r w:rsidRPr="00D43D95">
        <w:rPr>
          <w:rFonts w:ascii="Times New Roman" w:eastAsiaTheme="minorEastAsia" w:hAnsi="Times New Roman" w:cs="Times New Roman"/>
          <w:sz w:val="24"/>
          <w:szCs w:val="24"/>
        </w:rPr>
        <w:t xml:space="preserve"> </w:t>
      </w:r>
      <w:r w:rsidRPr="00D43D95">
        <w:rPr>
          <w:rFonts w:ascii="Times New Roman" w:eastAsiaTheme="minorEastAsia" w:hAnsi="Times New Roman" w:cs="Times New Roman"/>
          <w:b/>
          <w:sz w:val="24"/>
          <w:szCs w:val="24"/>
        </w:rPr>
        <w:t xml:space="preserve">Business </w:t>
      </w:r>
    </w:p>
    <w:p w14:paraId="53C155F3"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3B0B32C1" w14:textId="6F758595"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Formation and Operation </w:t>
      </w:r>
    </w:p>
    <w:p w14:paraId="37A6EA09" w14:textId="0A929813"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Purchasing and Selling Closely-Held Companies </w:t>
      </w:r>
    </w:p>
    <w:p w14:paraId="196D1F88" w14:textId="34E0B698"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Regulatory Issues </w:t>
      </w:r>
    </w:p>
    <w:p w14:paraId="0A5F6A18" w14:textId="2BC9A6B5"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Financing </w:t>
      </w:r>
    </w:p>
    <w:p w14:paraId="3BA6A2D9" w14:textId="1C33D9BA" w:rsidR="00D43D95" w:rsidRPr="00D43D95" w:rsidRDefault="00D43D95" w:rsidP="00D43D95">
      <w:pPr>
        <w:pStyle w:val="ListParagraph"/>
        <w:numPr>
          <w:ilvl w:val="0"/>
          <w:numId w:val="39"/>
        </w:numPr>
        <w:ind w:left="72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Management Issues </w:t>
      </w:r>
    </w:p>
    <w:p w14:paraId="02C24543" w14:textId="77777777" w:rsidR="00D43D95" w:rsidRPr="00D43D95" w:rsidRDefault="00D43D95" w:rsidP="00D43D95">
      <w:pPr>
        <w:pStyle w:val="ListParagraph"/>
        <w:rPr>
          <w:rFonts w:ascii="Times New Roman" w:eastAsiaTheme="minorEastAsia" w:hAnsi="Times New Roman" w:cs="Times New Roman"/>
          <w:sz w:val="24"/>
          <w:szCs w:val="24"/>
        </w:rPr>
      </w:pPr>
    </w:p>
    <w:p w14:paraId="4FAFDCBF" w14:textId="4579005B" w:rsidR="00D43D95" w:rsidRPr="00D43D95" w:rsidRDefault="00D43D95" w:rsidP="00D43D95">
      <w:pPr>
        <w:pStyle w:val="ListParagraph"/>
        <w:ind w:left="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As one of the founding members, Mark has built a firm focused on client service and care, professionalism, and a drive to achieve greatness in the local legal community. Mark’s mission statement has always remained, “The firm is committed to excellence, both in its work product and its service to clients. Client service is a number one priority in the firm and will continue to be as long as the firm exists. Quality work provided with honesty and integrity has, and will continue to be, of the utmost importance in everyday business transactions.” Mark has built his clientele and has achieved a reputation as a trusted </w:t>
      </w:r>
      <w:r>
        <w:rPr>
          <w:rFonts w:ascii="Times New Roman" w:eastAsiaTheme="minorEastAsia" w:hAnsi="Times New Roman" w:cs="Times New Roman"/>
          <w:sz w:val="24"/>
          <w:szCs w:val="24"/>
        </w:rPr>
        <w:t xml:space="preserve">and </w:t>
      </w:r>
      <w:r w:rsidRPr="00D43D95">
        <w:rPr>
          <w:rFonts w:ascii="Times New Roman" w:eastAsiaTheme="minorEastAsia" w:hAnsi="Times New Roman" w:cs="Times New Roman"/>
          <w:sz w:val="24"/>
          <w:szCs w:val="24"/>
        </w:rPr>
        <w:t xml:space="preserve">knowledgeable attorney and has received community awards attesting to his excellence. </w:t>
      </w:r>
    </w:p>
    <w:p w14:paraId="28B459EA"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16F163ED" w14:textId="418DE85E" w:rsidR="00D43D95" w:rsidRPr="00D43D95" w:rsidRDefault="00D43D95" w:rsidP="00D43D95">
      <w:pPr>
        <w:pStyle w:val="ListParagraph"/>
        <w:ind w:left="0"/>
        <w:rPr>
          <w:rFonts w:ascii="Times New Roman" w:eastAsiaTheme="minorEastAsia" w:hAnsi="Times New Roman" w:cs="Times New Roman"/>
          <w:sz w:val="24"/>
          <w:szCs w:val="24"/>
        </w:rPr>
      </w:pPr>
    </w:p>
    <w:p w14:paraId="2A26A776" w14:textId="48A36728" w:rsidR="00D43D95" w:rsidRPr="00D43D95" w:rsidRDefault="00D43D95" w:rsidP="00D43D95">
      <w:pPr>
        <w:pStyle w:val="ListParagraph"/>
        <w:ind w:left="0"/>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In addition to his legal practice, Mark is also committed, as an individual and through the firm, to be involved in the community through education, service, and professionalism. Mark represents many commercial clients in complex leasing matters, business planning, contract drafting and negotiation. Clients include contractors, real estate developers, and a variety of professionals from small businesses to large corporations with multiple holdings. Whether large or small, Mark applies the same level of expertise, professionalism and knowledge to each client. </w:t>
      </w:r>
    </w:p>
    <w:p w14:paraId="1B63AB1C" w14:textId="716D1482" w:rsidR="00D43D95" w:rsidRPr="00D43D95" w:rsidRDefault="00D43D95" w:rsidP="00D43D95">
      <w:pPr>
        <w:pStyle w:val="ListParagraph"/>
        <w:ind w:left="0"/>
        <w:rPr>
          <w:rFonts w:ascii="Times New Roman" w:eastAsiaTheme="minorEastAsia" w:hAnsi="Times New Roman" w:cs="Times New Roman"/>
          <w:sz w:val="24"/>
          <w:szCs w:val="24"/>
        </w:rPr>
      </w:pPr>
    </w:p>
    <w:p w14:paraId="1D348C93" w14:textId="3FB940E6" w:rsidR="00D43D95" w:rsidRPr="00D43D95" w:rsidRDefault="00D43D95" w:rsidP="00D43D95">
      <w:pPr>
        <w:pStyle w:val="ListParagraph"/>
        <w:ind w:left="0"/>
        <w:rPr>
          <w:rFonts w:ascii="Times New Roman" w:eastAsiaTheme="minorEastAsia" w:hAnsi="Times New Roman" w:cs="Times New Roman"/>
          <w:b/>
          <w:sz w:val="24"/>
          <w:szCs w:val="24"/>
        </w:rPr>
      </w:pPr>
      <w:r w:rsidRPr="00D43D95">
        <w:rPr>
          <w:rFonts w:ascii="Times New Roman" w:eastAsiaTheme="minorEastAsia" w:hAnsi="Times New Roman" w:cs="Times New Roman"/>
          <w:b/>
          <w:sz w:val="24"/>
          <w:szCs w:val="24"/>
        </w:rPr>
        <w:t xml:space="preserve">Education </w:t>
      </w:r>
    </w:p>
    <w:p w14:paraId="4EB50880" w14:textId="40FB94EA" w:rsidR="00D43D95" w:rsidRPr="00D43D95" w:rsidRDefault="00D43D95" w:rsidP="00D43D95">
      <w:pPr>
        <w:pStyle w:val="ListParagraph"/>
        <w:numPr>
          <w:ilvl w:val="0"/>
          <w:numId w:val="41"/>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University of Oregon School of Law, J.D. </w:t>
      </w:r>
    </w:p>
    <w:p w14:paraId="1E1E1495" w14:textId="701F60A8" w:rsidR="00D43D95" w:rsidRPr="00D43D95" w:rsidRDefault="00D43D95" w:rsidP="00D43D95">
      <w:pPr>
        <w:pStyle w:val="ListParagraph"/>
        <w:numPr>
          <w:ilvl w:val="0"/>
          <w:numId w:val="41"/>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University of Oregon, B.A. </w:t>
      </w:r>
    </w:p>
    <w:p w14:paraId="030855F3"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71D5F921" w14:textId="77777777" w:rsidR="00D43D95" w:rsidRPr="00D43D95" w:rsidRDefault="00D43D95" w:rsidP="00D43D95">
      <w:pPr>
        <w:pStyle w:val="ListParagraph"/>
        <w:ind w:left="0"/>
        <w:rPr>
          <w:rFonts w:ascii="Times New Roman" w:eastAsiaTheme="minorEastAsia" w:hAnsi="Times New Roman" w:cs="Times New Roman"/>
          <w:b/>
          <w:sz w:val="24"/>
          <w:szCs w:val="24"/>
        </w:rPr>
      </w:pPr>
      <w:r w:rsidRPr="00D43D95">
        <w:rPr>
          <w:rFonts w:ascii="Times New Roman" w:eastAsiaTheme="minorEastAsia" w:hAnsi="Times New Roman" w:cs="Times New Roman"/>
          <w:b/>
          <w:sz w:val="24"/>
          <w:szCs w:val="24"/>
        </w:rPr>
        <w:t xml:space="preserve">Community Involvement </w:t>
      </w:r>
    </w:p>
    <w:p w14:paraId="38C36D7D" w14:textId="77777777" w:rsidR="00D43D95" w:rsidRPr="00D43D95" w:rsidRDefault="00D43D95" w:rsidP="00D43D95">
      <w:pPr>
        <w:pStyle w:val="ListParagraph"/>
        <w:ind w:left="0"/>
        <w:rPr>
          <w:rFonts w:ascii="Times New Roman" w:eastAsiaTheme="minorEastAsia" w:hAnsi="Times New Roman" w:cs="Times New Roman"/>
          <w:sz w:val="24"/>
          <w:szCs w:val="24"/>
        </w:rPr>
      </w:pPr>
    </w:p>
    <w:p w14:paraId="4F8BF675" w14:textId="7ECBEEBC"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Past Director, Thurston County Association of Realtors </w:t>
      </w:r>
    </w:p>
    <w:p w14:paraId="4E4B1DF2" w14:textId="70929D1A"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Past Chair, Washington State Bar’s Law Practice Management and Technology Section (now known as the Solo and Small Firm Section) </w:t>
      </w:r>
    </w:p>
    <w:p w14:paraId="58A63548" w14:textId="77777777"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Past Faculty Member, Continuing Legal Education Courses with the Washington State Bar Association </w:t>
      </w:r>
    </w:p>
    <w:p w14:paraId="5150C8A6" w14:textId="1F0E9393"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Founding Member, Thurston County Dispute Resolution Center </w:t>
      </w:r>
    </w:p>
    <w:p w14:paraId="49494B24" w14:textId="273ED720"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Director, Griffin School Foundation </w:t>
      </w:r>
    </w:p>
    <w:p w14:paraId="449B9343" w14:textId="013D8AEB" w:rsidR="00D43D95" w:rsidRPr="00D43D95"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 xml:space="preserve">Member, Griffin School District Budget Taskforce </w:t>
      </w:r>
    </w:p>
    <w:p w14:paraId="6B510B19" w14:textId="1F6D5B5E" w:rsidR="008535E7" w:rsidRPr="003C6E78" w:rsidRDefault="00D43D95" w:rsidP="00D43D95">
      <w:pPr>
        <w:pStyle w:val="ListParagraph"/>
        <w:numPr>
          <w:ilvl w:val="0"/>
          <w:numId w:val="42"/>
        </w:numPr>
        <w:rPr>
          <w:rFonts w:ascii="Times New Roman" w:eastAsiaTheme="minorEastAsia" w:hAnsi="Times New Roman" w:cs="Times New Roman"/>
          <w:sz w:val="24"/>
          <w:szCs w:val="24"/>
        </w:rPr>
      </w:pPr>
      <w:r w:rsidRPr="00D43D95">
        <w:rPr>
          <w:rFonts w:ascii="Times New Roman" w:eastAsiaTheme="minorEastAsia" w:hAnsi="Times New Roman" w:cs="Times New Roman"/>
          <w:sz w:val="24"/>
          <w:szCs w:val="24"/>
        </w:rPr>
        <w:t>Member, Thurston County Bar Association</w:t>
      </w:r>
    </w:p>
    <w:sectPr w:rsidR="008535E7" w:rsidRPr="003C6E78"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FD1C2B" w:rsidRDefault="00FD1C2B" w:rsidP="000F5CAC">
      <w:r>
        <w:separator/>
      </w:r>
    </w:p>
  </w:endnote>
  <w:endnote w:type="continuationSeparator" w:id="0">
    <w:p w14:paraId="3B9627E7" w14:textId="77777777" w:rsidR="00FD1C2B" w:rsidRDefault="00FD1C2B"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Courier New">
    <w:altName w:val="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FD1C2B" w:rsidRDefault="00FD1C2B" w:rsidP="000F5CAC">
      <w:r>
        <w:separator/>
      </w:r>
    </w:p>
  </w:footnote>
  <w:footnote w:type="continuationSeparator" w:id="0">
    <w:p w14:paraId="1188D83A" w14:textId="77777777" w:rsidR="00FD1C2B" w:rsidRDefault="00FD1C2B"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22F2F"/>
    <w:multiLevelType w:val="hybridMultilevel"/>
    <w:tmpl w:val="9E1C18E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0D1779"/>
    <w:multiLevelType w:val="hybridMultilevel"/>
    <w:tmpl w:val="6AB8A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8C47F9"/>
    <w:multiLevelType w:val="hybridMultilevel"/>
    <w:tmpl w:val="A3DEE7B8"/>
    <w:lvl w:ilvl="0" w:tplc="79BA6F2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8">
    <w:nsid w:val="169C1130"/>
    <w:multiLevelType w:val="hybridMultilevel"/>
    <w:tmpl w:val="4930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A26A2C"/>
    <w:multiLevelType w:val="hybridMultilevel"/>
    <w:tmpl w:val="BB1815E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CA10513"/>
    <w:multiLevelType w:val="hybridMultilevel"/>
    <w:tmpl w:val="809EC0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8B4B9D"/>
    <w:multiLevelType w:val="hybridMultilevel"/>
    <w:tmpl w:val="FFE6CE4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C72C75"/>
    <w:multiLevelType w:val="hybridMultilevel"/>
    <w:tmpl w:val="84842B80"/>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E9543E"/>
    <w:multiLevelType w:val="hybridMultilevel"/>
    <w:tmpl w:val="1CBA90E8"/>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49D6660"/>
    <w:multiLevelType w:val="hybridMultilevel"/>
    <w:tmpl w:val="69B4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20">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A5263C"/>
    <w:multiLevelType w:val="hybridMultilevel"/>
    <w:tmpl w:val="1584C69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A134A3"/>
    <w:multiLevelType w:val="hybridMultilevel"/>
    <w:tmpl w:val="8526911C"/>
    <w:lvl w:ilvl="0" w:tplc="79BA6F28">
      <w:numFmt w:val="bullet"/>
      <w:lvlText w:val=""/>
      <w:lvlJc w:val="left"/>
      <w:pPr>
        <w:ind w:left="360" w:hanging="360"/>
      </w:pPr>
      <w:rPr>
        <w:rFonts w:ascii="Symbol" w:eastAsiaTheme="minorEastAsia" w:hAnsi="Symbol" w:cs="Times New Roman" w:hint="default"/>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6">
    <w:nsid w:val="44CD34FB"/>
    <w:multiLevelType w:val="hybridMultilevel"/>
    <w:tmpl w:val="5B36AD2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D33978"/>
    <w:multiLevelType w:val="hybridMultilevel"/>
    <w:tmpl w:val="DB76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8313432"/>
    <w:multiLevelType w:val="hybridMultilevel"/>
    <w:tmpl w:val="238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B3E3E33"/>
    <w:multiLevelType w:val="hybridMultilevel"/>
    <w:tmpl w:val="DCA67F1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32">
    <w:nsid w:val="587552F8"/>
    <w:multiLevelType w:val="hybridMultilevel"/>
    <w:tmpl w:val="7D6ABB6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3313C3"/>
    <w:multiLevelType w:val="hybridMultilevel"/>
    <w:tmpl w:val="95960712"/>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C869B9"/>
    <w:multiLevelType w:val="hybridMultilevel"/>
    <w:tmpl w:val="75C4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3BF5961"/>
    <w:multiLevelType w:val="hybridMultilevel"/>
    <w:tmpl w:val="670E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1C75A1"/>
    <w:multiLevelType w:val="hybridMultilevel"/>
    <w:tmpl w:val="E868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03B59BE"/>
    <w:multiLevelType w:val="hybridMultilevel"/>
    <w:tmpl w:val="4C945A54"/>
    <w:lvl w:ilvl="0" w:tplc="79BA6F28">
      <w:numFmt w:val="bullet"/>
      <w:lvlText w:val=""/>
      <w:lvlJc w:val="left"/>
      <w:pPr>
        <w:ind w:left="216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0D43DC6"/>
    <w:multiLevelType w:val="hybridMultilevel"/>
    <w:tmpl w:val="3A3C694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D259A9"/>
    <w:multiLevelType w:val="hybridMultilevel"/>
    <w:tmpl w:val="C330A9A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5C099B"/>
    <w:multiLevelType w:val="hybridMultilevel"/>
    <w:tmpl w:val="E3C45BF8"/>
    <w:lvl w:ilvl="0" w:tplc="79BA6F28">
      <w:numFmt w:val="bullet"/>
      <w:lvlText w:val=""/>
      <w:lvlJc w:val="left"/>
      <w:pPr>
        <w:ind w:left="1440" w:hanging="360"/>
      </w:pPr>
      <w:rPr>
        <w:rFonts w:ascii="Symbol" w:eastAsiaTheme="minorEastAsia" w:hAnsi="Symbol"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11"/>
  </w:num>
  <w:num w:numId="3">
    <w:abstractNumId w:val="39"/>
  </w:num>
  <w:num w:numId="4">
    <w:abstractNumId w:val="0"/>
  </w:num>
  <w:num w:numId="5">
    <w:abstractNumId w:val="21"/>
  </w:num>
  <w:num w:numId="6">
    <w:abstractNumId w:val="7"/>
  </w:num>
  <w:num w:numId="7">
    <w:abstractNumId w:val="19"/>
  </w:num>
  <w:num w:numId="8">
    <w:abstractNumId w:val="31"/>
  </w:num>
  <w:num w:numId="9">
    <w:abstractNumId w:val="20"/>
  </w:num>
  <w:num w:numId="10">
    <w:abstractNumId w:val="1"/>
  </w:num>
  <w:num w:numId="11">
    <w:abstractNumId w:val="24"/>
  </w:num>
  <w:num w:numId="12">
    <w:abstractNumId w:val="5"/>
  </w:num>
  <w:num w:numId="13">
    <w:abstractNumId w:val="18"/>
  </w:num>
  <w:num w:numId="14">
    <w:abstractNumId w:val="23"/>
  </w:num>
  <w:num w:numId="15">
    <w:abstractNumId w:val="16"/>
  </w:num>
  <w:num w:numId="16">
    <w:abstractNumId w:val="4"/>
  </w:num>
  <w:num w:numId="17">
    <w:abstractNumId w:val="29"/>
  </w:num>
  <w:num w:numId="18">
    <w:abstractNumId w:val="2"/>
  </w:num>
  <w:num w:numId="19">
    <w:abstractNumId w:val="38"/>
  </w:num>
  <w:num w:numId="20">
    <w:abstractNumId w:val="30"/>
  </w:num>
  <w:num w:numId="21">
    <w:abstractNumId w:val="9"/>
  </w:num>
  <w:num w:numId="22">
    <w:abstractNumId w:val="14"/>
  </w:num>
  <w:num w:numId="23">
    <w:abstractNumId w:val="22"/>
  </w:num>
  <w:num w:numId="24">
    <w:abstractNumId w:val="10"/>
  </w:num>
  <w:num w:numId="25">
    <w:abstractNumId w:val="33"/>
  </w:num>
  <w:num w:numId="26">
    <w:abstractNumId w:val="12"/>
  </w:num>
  <w:num w:numId="27">
    <w:abstractNumId w:val="40"/>
  </w:num>
  <w:num w:numId="28">
    <w:abstractNumId w:val="32"/>
  </w:num>
  <w:num w:numId="29">
    <w:abstractNumId w:val="13"/>
  </w:num>
  <w:num w:numId="30">
    <w:abstractNumId w:val="26"/>
  </w:num>
  <w:num w:numId="31">
    <w:abstractNumId w:val="34"/>
  </w:num>
  <w:num w:numId="32">
    <w:abstractNumId w:val="28"/>
  </w:num>
  <w:num w:numId="33">
    <w:abstractNumId w:val="36"/>
  </w:num>
  <w:num w:numId="34">
    <w:abstractNumId w:val="27"/>
  </w:num>
  <w:num w:numId="35">
    <w:abstractNumId w:val="8"/>
  </w:num>
  <w:num w:numId="36">
    <w:abstractNumId w:val="35"/>
  </w:num>
  <w:num w:numId="37">
    <w:abstractNumId w:val="15"/>
  </w:num>
  <w:num w:numId="38">
    <w:abstractNumId w:val="3"/>
  </w:num>
  <w:num w:numId="39">
    <w:abstractNumId w:val="41"/>
  </w:num>
  <w:num w:numId="40">
    <w:abstractNumId w:val="37"/>
  </w:num>
  <w:num w:numId="41">
    <w:abstractNumId w:val="6"/>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1969C7"/>
    <w:rsid w:val="001A2154"/>
    <w:rsid w:val="00364506"/>
    <w:rsid w:val="00386C63"/>
    <w:rsid w:val="00395925"/>
    <w:rsid w:val="003C6E78"/>
    <w:rsid w:val="004D17DA"/>
    <w:rsid w:val="00625E9A"/>
    <w:rsid w:val="00696312"/>
    <w:rsid w:val="006B479B"/>
    <w:rsid w:val="008535E7"/>
    <w:rsid w:val="008818F1"/>
    <w:rsid w:val="00881A85"/>
    <w:rsid w:val="008F0E8A"/>
    <w:rsid w:val="00A356D8"/>
    <w:rsid w:val="00A603AE"/>
    <w:rsid w:val="00D43D95"/>
    <w:rsid w:val="00DD2B3E"/>
    <w:rsid w:val="00DE4393"/>
    <w:rsid w:val="00DF5425"/>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359</Words>
  <Characters>2047</Characters>
  <Application>Microsoft Macintosh Word</Application>
  <DocSecurity>0</DocSecurity>
  <Lines>17</Lines>
  <Paragraphs>4</Paragraphs>
  <ScaleCrop>false</ScaleCrop>
  <Company>ADP Dealer Services</Company>
  <LinksUpToDate>false</LinksUpToDate>
  <CharactersWithSpaces>2402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3</cp:revision>
  <cp:lastPrinted>2013-07-31T03:58:00Z</cp:lastPrinted>
  <dcterms:created xsi:type="dcterms:W3CDTF">2013-07-31T04:11:00Z</dcterms:created>
  <dcterms:modified xsi:type="dcterms:W3CDTF">2013-07-31T04:18:00Z</dcterms:modified>
</cp:coreProperties>
</file>