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lineRule="auto"/>
        <w:rPr>
          <w:color w:val="4a148c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CIT-223-087/2022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lineRule="auto"/>
        <w:rPr>
          <w:color w:val="000000"/>
          <w:sz w:val="28"/>
          <w:szCs w:val="28"/>
        </w:rPr>
      </w:pPr>
      <w:bookmarkStart w:colFirst="0" w:colLast="0" w:name="_heading=h.xrv3atorbeue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Omondi Peter Odero</w:t>
      </w:r>
    </w:p>
    <w:p w:rsidR="00000000" w:rsidDel="00000000" w:rsidP="00000000" w:rsidRDefault="00000000" w:rsidRPr="00000000" w14:paraId="00000003">
      <w:pPr>
        <w:pStyle w:val="Heading1"/>
        <w:spacing w:after="160" w:lineRule="auto"/>
        <w:rPr>
          <w:color w:val="000000"/>
        </w:rPr>
      </w:pPr>
      <w:bookmarkStart w:colFirst="0" w:colLast="0" w:name="_heading=h.25xs9mfdvouy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Weekend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1 – Framework of Learning from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 Four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Components of learning from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sdt>
        <w:sdtPr>
          <w:id w:val="-4363619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The Unknown Target Function  f : X → Y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ideal rule we are trying to learn. It is never directly observed — only through the training examples it generates. In practice, f could be the true credit-risk scoring rule, the true spam filter, or the true mapping from pixels to digit labels.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Dataset  D = {(x₁,y₁), (x₂,y₂), …, (xₙ,yₙ)}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finite, noisy sample of input-output pairs generated by f under some input distribution P(X). The algorithm can only see D — it must generalise beyond it.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Set 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space of all models the algorithm is allowed to consider (e.g. all linear classifiers, all neural networks of a given depth). The choice of H encodes our prior assumptions about f's complexity.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Algorithm 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Searches H and returns the final hypothesis g that minimises training error (empirical risk) while hopefully also minimising test error (generalisation). Gradient descent, evolutionary search, and Bayesian optimisation are all examples of A.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Diagram – Learning from Data Pipeline</w:t>
      </w:r>
      <w:r w:rsidDel="00000000" w:rsidR="00000000" w:rsidRPr="00000000">
        <w:rPr>
          <w:rtl w:val="0"/>
        </w:rPr>
      </w:r>
    </w:p>
    <w:tbl>
      <w:tblPr>
        <w:tblStyle w:val="Table1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400"/>
        <w:gridCol w:w="1300"/>
        <w:gridCol w:w="400"/>
        <w:gridCol w:w="1300"/>
        <w:gridCol w:w="400"/>
        <w:gridCol w:w="1300"/>
        <w:gridCol w:w="400"/>
        <w:gridCol w:w="1226"/>
        <w:tblGridChange w:id="0">
          <w:tblGrid>
            <w:gridCol w:w="1300"/>
            <w:gridCol w:w="400"/>
            <w:gridCol w:w="1300"/>
            <w:gridCol w:w="400"/>
            <w:gridCol w:w="1300"/>
            <w:gridCol w:w="400"/>
            <w:gridCol w:w="1300"/>
            <w:gridCol w:w="400"/>
            <w:gridCol w:w="1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1c1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UnknownTarget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sdt>
              <w:sdtPr>
                <w:id w:val="-107279356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55555"/>
                    <w:sz w:val="24"/>
                    <w:szCs w:val="24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TrainingData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sdt>
              <w:sdtPr>
                <w:id w:val="-167353225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55555"/>
                    <w:sz w:val="24"/>
                    <w:szCs w:val="24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LearningAlgorithm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169797671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55555"/>
                    <w:sz w:val="24"/>
                    <w:szCs w:val="24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6a1b9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FinalHypothesis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sdt>
              <w:sdtPr>
                <w:id w:val="-209527240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555555"/>
                    <w:sz w:val="24"/>
                    <w:szCs w:val="24"/>
                    <w:rtl w:val="0"/>
                  </w:rPr>
                  <w:t xml:space="preserve">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6510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PerformanceEvaluation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left w:color="ffa000" w:space="0" w:sz="10" w:val="single"/>
        </w:pBdr>
        <w:shd w:fill="fff8e1" w:val="clear"/>
        <w:spacing w:after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 Generalisation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central question is: when does performance on D imply performance on new data? The answer depends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size N: </w:t>
      </w:r>
      <w:sdt>
        <w:sdtPr>
          <w:id w:val="-10205301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More data → better generalisation.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complexity (VC dimension d_vc):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Simpler models generalise better but may underfit.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error E_in: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small, but low E_in alone is not enough.</w:t>
      </w:r>
    </w:p>
    <w:p w:rsidR="00000000" w:rsidDel="00000000" w:rsidP="00000000" w:rsidRDefault="00000000" w:rsidRPr="00000000" w14:paraId="00000027">
      <w:pPr>
        <w:shd w:fill="ffebee" w:val="clear"/>
        <w:spacing w:after="200" w:lineRule="auto"/>
        <w:ind w:left="360" w:firstLine="0"/>
        <w:rPr/>
      </w:pPr>
      <w:sdt>
        <w:sdtPr>
          <w:id w:val="141353045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Hoeffding Bound:  E_out ≤ E_in + √(8/N · ln(2|H|/δ))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– Multi-Layer Perceptron (MLP)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An MLP stacks multiple fully-connected (Dense) layers. Each neuron computes a weighted sum of its inputs and applies a non-linear activation function. This allows the network to learn arbitrarily complex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89"/>
        <w:gridCol w:w="1289"/>
        <w:gridCol w:w="1289"/>
        <w:gridCol w:w="1289"/>
        <w:gridCol w:w="1289"/>
        <w:gridCol w:w="1289"/>
        <w:gridCol w:w="1289"/>
        <w:tblGridChange w:id="0">
          <w:tblGrid>
            <w:gridCol w:w="1289"/>
            <w:gridCol w:w="1289"/>
            <w:gridCol w:w="1289"/>
            <w:gridCol w:w="1289"/>
            <w:gridCol w:w="1289"/>
            <w:gridCol w:w="1289"/>
            <w:gridCol w:w="12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 LAYER(x₁ … xₙ)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sdt>
              <w:sdtPr>
                <w:id w:val="162309585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444444"/>
                    <w:sz w:val="20"/>
                    <w:szCs w:val="20"/>
                    <w:rtl w:val="0"/>
                  </w:rPr>
                  <w:t xml:space="preserve">──W¹──→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d3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HIDDEN 1ReLU(W¹x+b¹)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sdt>
              <w:sdtPr>
                <w:id w:val="61522247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444444"/>
                    <w:sz w:val="20"/>
                    <w:szCs w:val="20"/>
                    <w:rtl w:val="0"/>
                  </w:rPr>
                  <w:t xml:space="preserve">──W²──→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6a1b9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HIDDEN 2ReLU(W²a¹+b²)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sdt>
              <w:sdtPr>
                <w:id w:val="116698184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444444"/>
                    <w:sz w:val="20"/>
                    <w:szCs w:val="20"/>
                    <w:rtl w:val="0"/>
                  </w:rPr>
                  <w:t xml:space="preserve">──W³──→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OUTPUTσ(W³a²+b³)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left w:color="ffa000" w:space="0" w:sz="10" w:val="single"/>
        </w:pBdr>
        <w:shd w:fill="fff8e1" w:val="clear"/>
        <w:spacing w:after="20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How the MLP Learns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Initialise weights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randomly (He-initialisation: W ~ N(0, 2/fan_in) to prevent vanishing/exploding gradients).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pass: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propagate input X through layers, computing z = Wa + b and a = activation(z) at each step.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loss: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 error between predictions ŷ and true labels y (e.g. cross-entropy loss).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Backward pass (backpropagation):</w:t>
      </w:r>
      <w:sdt>
        <w:sdtPr>
          <w:id w:val="-50691006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use the chain rule to compute ∂L/∂W and ∂L/∂b for every layer from output back to input.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weights:</w:t>
      </w:r>
      <w:sdt>
        <w:sdtPr>
          <w:id w:val="-101480274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W ← W − η·∂L/∂W  where η is the learning rate. Repeat for every mini-batch.</w:t>
          </w:r>
        </w:sdtContent>
      </w:sdt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b71c1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62828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nrl72lXkks9FFXW/2xJtzZdjEA==">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