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and chatbot.py. The notebooks themselves contain only short section introductions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e-mail addresses,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chat in the notebook and a Streamlit web chat started from the notebook.</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classes/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Course seminar notebooks (reference material, not part of the chatbot).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task.docx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assignment text.</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(§11.2 limits of BLEU/ROUGE), §13 LLM judge, §14 failure analysis,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TF-IDF baseline, §5.1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(set in chatbot.py, reported in the §15 summary);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 management (retrieval, history trimming) measured with tiktoken, JSON output checked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 §12 guardrail ablation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sources cited in the JSON reply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a sources field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follow-ups add the previous question) → prompt template (rules, categories, few-shot examples, the last 5 question/answer pairs,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Section 2; an empty line or </w:t>
      </w:r>
      <w:r>
        <w:rPr>
          <w:rFonts w:ascii="Consolas" w:cs="Consolas" w:eastAsia="Consolas" w:hAnsi="Consolas"/>
          <w:color w:val="1F3864"/>
          <w:sz w:val="19"/>
          <w:szCs w:val="19"/>
        </w:rPr>
        <w:t xml:space="preserve">quit</w:t>
      </w:r>
      <w:r>
        <w:rPr>
          <w:rFonts w:ascii="Calibri" w:cs="Calibri" w:eastAsia="Calibri" w:hAnsi="Calibri"/>
        </w:rPr>
        <w:t xml:space="preserve"> ends that chat, and Section 3 then starts the web chat at http://localhost:8501.</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section numbers match the notebook; some titles here are longer. The chatbot parts described in Sections 2–4 and 7–10 and the e5 retriever of Section 5.1 are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them, shows short examples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the Groq client is created with max_retries=0, so the SDK does not retry either; if Groq returns an error (for example because the free-tier rate limit is reached), it is printed and the reply stays empty,</w:t>
      </w:r>
    </w:p>
    <w:p>
      <w:pPr>
        <w:pStyle w:val="ListParagraph"/>
        <w:numPr>
          <w:ilvl w:val="0"/>
          <w:numId w:val="3"/>
        </w:numPr>
        <w:spacing w:after="60"/>
      </w:pPr>
      <w:r>
        <w:rPr>
          <w:rFonts w:ascii="Calibri" w:cs="Calibri" w:eastAsia="Calibri" w:hAnsi="Calibri"/>
          <w:b/>
          <w:bCs/>
        </w:rPr>
        <w:t xml:space="preserve">a reply sent as a tool call</w:t>
      </w:r>
      <w:r>
        <w:rPr>
          <w:rFonts w:ascii="Calibri" w:cs="Calibri" w:eastAsia="Calibri" w:hAnsi="Calibri"/>
        </w:rPr>
        <w:t xml:space="preserve">: gpt-oss sometimes sends its final JSON reply as a call to a tool that does not exist (for example "json"). Groq rejects it with </w:t>
      </w:r>
      <w:r>
        <w:rPr>
          <w:rFonts w:ascii="Consolas" w:cs="Consolas" w:eastAsia="Consolas" w:hAnsi="Consolas"/>
          <w:color w:val="1F3864"/>
          <w:sz w:val="19"/>
          <w:szCs w:val="19"/>
        </w:rPr>
        <w:t xml:space="preserve">tool_use_failed</w:t>
      </w:r>
      <w:r>
        <w:rPr>
          <w:rFonts w:ascii="Calibri" w:cs="Calibri" w:eastAsia="Calibri" w:hAnsi="Calibri"/>
        </w:rPr>
        <w:t xml:space="preserve">, but the error contains the generated reply, so </w:t>
      </w:r>
      <w:r>
        <w:rPr>
          <w:rFonts w:ascii="Consolas" w:cs="Consolas" w:eastAsia="Consolas" w:hAnsi="Consolas"/>
          <w:color w:val="1F3864"/>
          <w:sz w:val="19"/>
          <w:szCs w:val="19"/>
        </w:rPr>
        <w:t xml:space="preserve">chat_completion()</w:t>
      </w:r>
      <w:r>
        <w:rPr>
          <w:rFonts w:ascii="Calibri" w:cs="Calibri" w:eastAsia="Calibri" w:hAnsi="Calibri"/>
        </w:rPr>
        <w:t xml:space="preserve"> uses that reply instead of an empty one (no second request is sent),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r>
        <w:rPr>
          <w:rFonts w:ascii="Calibri" w:cs="Calibri" w:eastAsia="Calibri" w:hAnsi="Calibri"/>
        </w:rPr>
        <w:t xml:space="preserve"> Replies are capped at 2,500 completion tokens (</w:t>
      </w:r>
      <w:r>
        <w:rPr>
          <w:rFonts w:ascii="Consolas" w:cs="Consolas" w:eastAsia="Consolas" w:hAnsi="Consolas"/>
          <w:color w:val="1F3864"/>
          <w:sz w:val="19"/>
          <w:szCs w:val="19"/>
        </w:rPr>
        <w:t xml:space="preserve">MAX_COMPLETION_TOKENS</w:t>
      </w:r>
      <w:r>
        <w:rPr>
          <w:rFonts w:ascii="Calibri" w:cs="Calibri" w:eastAsia="Calibri" w:hAnsi="Calibri"/>
        </w:rPr>
        <w:t xml:space="preserve">).</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w:t>
      </w:r>
      <w:r>
        <w:rPr>
          <w:rFonts w:ascii="Consolas" w:cs="Consolas" w:eastAsia="Consolas" w:hAnsi="Consolas"/>
          <w:color w:val="1F3864"/>
          <w:sz w:val="19"/>
          <w:szCs w:val="19"/>
        </w:rPr>
        <w:t xml:space="preserve">chatbot.py</w:t>
      </w:r>
      <w:r>
        <w:rPr>
          <w:rFonts w:ascii="Calibri" w:cs="Calibri" w:eastAsia="Calibri" w:hAnsi="Calibri"/>
        </w:rPr>
        <w:t xml:space="preserve"> opens the database read-only (SQLite mode=ro) and both notebooks only use that connection,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No e-mail check.</w:t>
      </w:r>
      <w:r>
        <w:rPr>
          <w:rFonts w:ascii="Calibri" w:cs="Calibri" w:eastAsia="Calibri" w:hAnsi="Calibri"/>
        </w:rPr>
        <w:t xml:space="preserve"> The order number alone is enough to see an order's status, carrier, tracking code, dates and items, so the customer gets an answer at once. The tool never returns the e-mail address stored with the order, and e-mail addresses typed by the customer are redacted before anything is sent to the LLM. A real shop would add a verification step (see Limitations).</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a German question (test case T34) finds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70-word windows with a 15-word overlap were also tried outside the notebook and gave practically the same retrieval scores, so the notebook keeps paragraph chunks.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cases are defined </w:t>
      </w:r>
      <w:r>
        <w:rPr>
          <w:rFonts w:ascii="Calibri" w:cs="Calibri" w:eastAsia="Calibri" w:hAnsi="Calibri"/>
          <w:b/>
          <w:bCs/>
        </w:rPr>
        <w:t xml:space="preserve">before</w:t>
      </w:r>
      <w:r>
        <w:rPr>
          <w:rFonts w:ascii="Calibri" w:cs="Calibri" w:eastAsia="Calibri" w:hAnsi="Calibri"/>
        </w:rPr>
        <w:t xml:space="preserve"> the evaluation run and were revised only when the chatbot's specification changed (for example when the e-mail check and the human hand-off were dropped),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prices or discounts, unsafe advice,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t>
      </w:r>
      <w:r>
        <w:rPr>
          <w:rFonts w:ascii="Consolas" w:cs="Consolas" w:eastAsia="Consolas" w:hAnsi="Consolas"/>
          <w:color w:val="1F3864"/>
          <w:sz w:val="19"/>
          <w:szCs w:val="19"/>
        </w:rPr>
        <w:t xml:space="preserve">order_id</w:t>
      </w:r>
      <w:r>
        <w:rPr>
          <w:rFonts w:ascii="Calibri" w:cs="Calibri" w:eastAsia="Calibri" w:hAnsi="Calibri"/>
        </w:rPr>
        <w:t xml:space="preserve">: whether the order tool must be called with the given order number (required), must not be called (none) or may be called (optional; supported but not used by the current cases),</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(27 of the 34 cases); used for the retrieval metrics, as the LLM judge's reference and in the failure analysis,</w:t>
      </w:r>
    </w:p>
    <w:p>
      <w:pPr>
        <w:pStyle w:val="ListParagraph"/>
        <w:numPr>
          <w:ilvl w:val="0"/>
          <w:numId w:val="3"/>
        </w:numPr>
        <w:spacing w:after="60"/>
      </w:pPr>
      <w:r>
        <w:rPr>
          <w:rFonts w:ascii="Consolas" w:cs="Consolas" w:eastAsia="Consolas" w:hAnsi="Consolas"/>
          <w:color w:val="1F3864"/>
          <w:sz w:val="19"/>
          <w:szCs w:val="19"/>
        </w:rPr>
        <w:t xml:space="preserve">history</w:t>
      </w:r>
      <w:r>
        <w:rPr>
          <w:rFonts w:ascii="Calibri" w:cs="Calibri" w:eastAsia="Calibri" w:hAnsi="Calibri"/>
        </w:rPr>
        <w:t xml:space="preserve">: earlier customer messages of the conversation (the multi-turn case).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shipped, delivered and delayed orders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r>
        <w:rPr>
          <w:rFonts w:ascii="Calibri" w:cs="Calibri" w:eastAsia="Calibri" w:hAnsi="Calibri"/>
        </w:rPr>
        <w:t xml:space="preserve"> 27 of the 34 cases have a gold page. Most have only one, so precision@3 cannot exceed about 0.38; recall@3 and MRR are the more informative scores.</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(5) question/answer pairs are sent, each as the redacted customer message and the JSON reply; earlier documents and tool results are not sent again,</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 (not measured in the notebook).</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(9 or more digits and separators; dates such as 2026-10-12 or 12/10/2026 are kept) are masked before anything is sent to Groq.</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nine fixed phrases (case-insensitive) catch common attacks ("ignore previous instructions", "system prompt", "admin mode"). Matching messages get a fixed reply without an LLM call and are not kept in the conversation history, so they never reach the LLM, not even with a later turn.</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Our own tag names typed by the customer are removed first, repeatedly until none is left,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redaction, the injection filter and the output check are switched off; the delimiter tags stay in place.</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look up order numbers with the tool (no e-mail needed) and never guess an order status; say so when information is missing; no refunds, discount codes, payments or order changes; apologise briefly to upset customers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in the language of the customer's latest message, also after a language switch)</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checked in Python outside the model (readable, all four fields, an allowed category); a reply without readable JSON is kept as plain text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without an upper limit, until the model answers without requesting the tool.</w:t>
      </w:r>
    </w:p>
    <w:p>
      <w:pPr>
        <w:pStyle w:val="ListParagraph"/>
        <w:numPr>
          <w:ilvl w:val="0"/>
          <w:numId w:val="5"/>
        </w:numPr>
        <w:spacing w:after="60"/>
      </w:pPr>
      <w:r>
        <w:rPr>
          <w:rFonts w:ascii="Calibri" w:cs="Calibri" w:eastAsia="Calibri" w:hAnsi="Calibri"/>
          <w:b/>
          <w:bCs/>
        </w:rPr>
        <w:t xml:space="preserve">Validation and memory</w:t>
      </w:r>
      <w:r>
        <w:rPr>
          <w:rFonts w:ascii="Calibri" w:cs="Calibri" w:eastAsia="Calibri" w:hAnsi="Calibri"/>
        </w:rPr>
        <w:t xml:space="preserve">: parse and check the JSON, run the output guard, then add the redacted message and the reply to the history (messages stopped by the injection filter are not kept).</w:t>
      </w:r>
    </w:p>
    <w:p>
      <w:pPr>
        <w:spacing w:after="120"/>
      </w:pPr>
      <w:r>
        <w:rPr>
          <w:rFonts w:ascii="Calibri" w:cs="Calibri" w:eastAsia="Calibri" w:hAnsi="Calibri"/>
        </w:rPr>
        <w:t xml:space="preserve">The interactive chat and the web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six adversarial and out-of-scope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all key facts present, nothing forbidden, a correct tool decision (the right order number when the tool is required) and, for decline cases, a refusal phrase from a fixed list.</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for the answers written by the LLM (fixed guardrail replies are skipped). Section 11.2 compares them with the pass/fail result.</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time of all calls for the answer (an order look-up needs two calls); answers stopped by the injection filter count as 0.</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compare the mean BLEU and ROUGE-L of passed and failed answers and look at their spread: if these scores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six adversarial and out-of-scope cases are re-run with guardrails switched off: no redaction, no injection filter, no output check; the delimiter tags stay in place. The model then has only its prompt to rely on, which shows how much the application-level layer adds. The card number used is the public Visa test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reference documents, tool results, reference answer and expected behaviour, scores correctness, groundedness and helpfulness from 1 to 5, and says whether the expected behaviour (answer or decline) was followed. A reply passes the judge if correctness is at least 4 and the behaviour is right; we report how often this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gets an automatic first diagnosis:</w:t>
      </w:r>
    </w:p>
    <w:p>
      <w:pPr>
        <w:pStyle w:val="ListParagraph"/>
        <w:numPr>
          <w:ilvl w:val="0"/>
          <w:numId w:val="3"/>
        </w:numPr>
        <w:spacing w:after="60"/>
      </w:pPr>
      <w:r>
        <w:rPr>
          <w:rFonts w:ascii="Calibri" w:cs="Calibri" w:eastAsia="Calibri" w:hAnsi="Calibri"/>
          <w:b/>
          <w:bCs/>
        </w:rPr>
        <w:t xml:space="preserve">guardrail</w:t>
      </w:r>
      <w:r>
        <w:rPr>
          <w:rFonts w:ascii="Calibri" w:cs="Calibri" w:eastAsia="Calibri" w:hAnsi="Calibri"/>
        </w:rPr>
        <w:t xml:space="preserve">: the reply was replaced by the injection filter or the output check,</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not called with the expected order number, or called when it should not have been,</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top 3 (answer cases only),</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a decline case without a refusal phrase, or forbidden content in the reply,</w:t>
      </w:r>
    </w:p>
    <w:p>
      <w:pPr>
        <w:pStyle w:val="ListParagraph"/>
        <w:numPr>
          <w:ilvl w:val="0"/>
          <w:numId w:val="3"/>
        </w:numPr>
        <w:spacing w:after="60"/>
      </w:pPr>
      <w:r>
        <w:rPr>
          <w:rFonts w:ascii="Calibri" w:cs="Calibri" w:eastAsia="Calibri" w:hAnsi="Calibri"/>
          <w:b/>
          <w:bCs/>
        </w:rPr>
        <w:t xml:space="preserve">generation or keyword check</w:t>
      </w:r>
      <w:r>
        <w:rPr>
          <w:rFonts w:ascii="Calibri" w:cs="Calibri" w:eastAsia="Calibri" w:hAnsi="Calibri"/>
        </w:rPr>
        <w:t xml:space="preserve">: a key fact is missing; the code cannot tell whether the model left it out or the rule missed a paraphrase.</w:t>
      </w:r>
    </w:p>
    <w:p>
      <w:pPr>
        <w:spacing w:after="120"/>
      </w:pPr>
      <w:r>
        <w:rPr>
          <w:rFonts w:ascii="Calibri" w:cs="Calibri" w:eastAsia="Calibri" w:hAnsi="Calibri"/>
        </w:rPr>
        <w:t xml:space="preserve">The diagnosis is only a first guess, so every failure is also read by hand: for example, a correct refusal worded differently from the fixed refusal-phrase list is labelled a generation error.</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(model, temperature, judge, top-k, retrieval scores, pass rate, category Exact Match, valid JSON, ROUGE-L, tokens, latency, guardrail ablation, judge and failure causes); the full metric table is in </w:t>
      </w:r>
      <w:r>
        <w:rPr>
          <w:rFonts w:ascii="Consolas" w:cs="Consolas" w:eastAsia="Consolas" w:hAnsi="Consolas"/>
          <w:color w:val="1F3864"/>
          <w:sz w:val="19"/>
          <w:szCs w:val="19"/>
        </w:rPr>
        <w:t xml:space="preserve">outputs/overall_summary.csv</w:t>
      </w:r>
      <w:r>
        <w:rPr>
          <w:rFonts w:ascii="Calibri" w:cs="Calibri" w:eastAsia="Calibri" w:hAnsi="Calibri"/>
        </w:rPr>
        <w:t xml:space="preserve">. Section 14 interprets the failures;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an </w:t>
      </w:r>
      <w:r>
        <w:rPr>
          <w:rFonts w:ascii="Consolas" w:cs="Consolas" w:eastAsia="Consolas" w:hAnsi="Consolas"/>
          <w:color w:val="1F3864"/>
          <w:sz w:val="19"/>
          <w:szCs w:val="19"/>
        </w:rPr>
        <w:t xml:space="preserve">input()</w:t>
      </w:r>
      <w:r>
        <w:rPr>
          <w:rFonts w:ascii="Calibri" w:cs="Calibri" w:eastAsia="Calibri" w:hAnsi="Calibri"/>
        </w:rPr>
        <w:t xml:space="preserve"> loop; every answer is printed with its category, urgency, sources, tool calls and guardrail result (an empty line, </w:t>
      </w:r>
      <w:r>
        <w:rPr>
          <w:rFonts w:ascii="Consolas" w:cs="Consolas" w:eastAsia="Consolas" w:hAnsi="Consolas"/>
          <w:color w:val="1F3864"/>
          <w:sz w:val="19"/>
          <w:szCs w:val="19"/>
        </w:rPr>
        <w:t xml:space="preserve">quit</w:t>
      </w:r>
      <w:r>
        <w:rPr>
          <w:rFonts w:ascii="Calibri" w:cs="Calibri" w:eastAsia="Calibri" w:hAnsi="Calibri"/>
        </w:rPr>
        <w:t xml:space="preserve"> or </w:t>
      </w:r>
      <w:r>
        <w:rPr>
          <w:rFonts w:ascii="Consolas" w:cs="Consolas" w:eastAsia="Consolas" w:hAnsi="Consolas"/>
          <w:color w:val="1F3864"/>
          <w:sz w:val="19"/>
          <w:szCs w:val="19"/>
        </w:rPr>
        <w:t xml:space="preserve">exit</w:t>
      </w:r>
      <w:r>
        <w:rPr>
          <w:rFonts w:ascii="Calibri" w:cs="Calibri" w:eastAsia="Calibri" w:hAnsi="Calibri"/>
        </w:rPr>
        <w:t xml:space="preserve"> stops).</w:t>
      </w:r>
    </w:p>
    <w:p>
      <w:pPr>
        <w:pStyle w:val="ListParagraph"/>
        <w:numPr>
          <w:ilvl w:val="0"/>
          <w:numId w:val="6"/>
        </w:numPr>
        <w:spacing w:after="60"/>
      </w:pPr>
      <w:r>
        <w:rPr>
          <w:rFonts w:ascii="Calibri" w:cs="Calibri" w:eastAsia="Calibri" w:hAnsi="Calibri"/>
          <w:b/>
          <w:bCs/>
        </w:rPr>
        <w:t xml:space="preserve">Web chat</w:t>
      </w:r>
      <w:r>
        <w:rPr>
          <w:rFonts w:ascii="Calibri" w:cs="Calibri" w:eastAsia="Calibri" w:hAnsi="Calibri"/>
        </w:rPr>
        <w:t xml:space="preserve">: running the cell writes the </w:t>
      </w:r>
      <w:r>
        <w:rPr>
          <w:rFonts w:ascii="Consolas" w:cs="Consolas" w:eastAsia="Consolas" w:hAnsi="Consolas"/>
          <w:color w:val="1F3864"/>
          <w:sz w:val="19"/>
          <w:szCs w:val="19"/>
        </w:rPr>
        <w:t xml:space="preserve">web_chat()</w:t>
      </w:r>
      <w:r>
        <w:rPr>
          <w:rFonts w:ascii="Calibri" w:cs="Calibri" w:eastAsia="Calibri" w:hAnsi="Calibri"/>
        </w:rPr>
        <w:t xml:space="preserve"> function of the same cell to the system temp folder (not into the project) and starts it with Streamlit at http://localhost:8501, reachable only from this computer. The API key from Setup is passed to the server process in memory (an environment variable) and never saved. The page loads </w:t>
      </w:r>
      <w:r>
        <w:rPr>
          <w:rFonts w:ascii="Consolas" w:cs="Consolas" w:eastAsia="Consolas" w:hAnsi="Consolas"/>
          <w:color w:val="1F3864"/>
          <w:sz w:val="19"/>
          <w:szCs w:val="19"/>
        </w:rPr>
        <w:t xml:space="preserve">chatbot.py</w:t>
      </w:r>
      <w:r>
        <w:rPr>
          <w:rFonts w:ascii="Calibri" w:cs="Calibri" w:eastAsia="Calibri" w:hAnsi="Calibri"/>
        </w:rPr>
        <w:t xml:space="preserve"> once (</w:t>
      </w:r>
      <w:r>
        <w:rPr>
          <w:rFonts w:ascii="Consolas" w:cs="Consolas" w:eastAsia="Consolas" w:hAnsi="Consolas"/>
          <w:color w:val="1F3864"/>
          <w:sz w:val="19"/>
          <w:szCs w:val="19"/>
        </w:rPr>
        <w:t xml:space="preserve">st.cache_resource</w:t>
      </w:r>
      <w:r>
        <w:rPr>
          <w:rFonts w:ascii="Calibri" w:cs="Calibri" w:eastAsia="Calibri" w:hAnsi="Calibri"/>
        </w:rPr>
        <w:t xml:space="preserve">), keeps one conversation per browser tab and shows only the answer text. If port 8501 is already in use, the cell says so; interrupt the cell to stop the web chat.</w:t>
      </w:r>
    </w:p>
    <w:p>
      <w:pPr>
        <w:pStyle w:val="Heading2"/>
      </w:pPr>
      <w:r>
        <w:t xml:space="preserve">Try it yourself</w:t>
      </w:r>
    </w:p>
    <w:p>
      <w:pPr>
        <w:spacing w:after="120"/>
      </w:pPr>
      <w:r>
        <w:rPr>
          <w:rFonts w:ascii="Calibri" w:cs="Calibri" w:eastAsia="Calibri" w:hAnsi="Calibri"/>
        </w:rPr>
        <w:t xml:space="preserve">Chat in Section 2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or run Section 3 and open http://localhost:8501 (reload the page for a new conversation). Try an order look-up: ask about order A1001, then switch to another language.</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(Sections 5.1 and 6.1). Its similarity scores, however, lie in a narrow band (top-1 cosine about 0.79–0.90 on the test set),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(for example a refusal worded differently from the fixed phrase list),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run_summary.txt records the model ID and temperature; report them with the date of the run, and restart the kernel before a run so that changes in chatbot.py take effect.</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pause between calls and nothing is retried (the Groq SDK's retries are switched off), so a call that hits the rate limit fails and its test case counts as failed.</w:t>
      </w:r>
    </w:p>
    <w:p>
      <w:pPr>
        <w:pStyle w:val="ListParagraph"/>
        <w:numPr>
          <w:ilvl w:val="0"/>
          <w:numId w:val="3"/>
        </w:numPr>
        <w:spacing w:after="60"/>
      </w:pPr>
      <w:r>
        <w:rPr>
          <w:rFonts w:ascii="Calibri" w:cs="Calibri" w:eastAsia="Calibri" w:hAnsi="Calibri"/>
          <w:b/>
          <w:bCs/>
        </w:rPr>
        <w:t xml:space="preserve">Simple patterns.</w:t>
      </w:r>
      <w:r>
        <w:rPr>
          <w:rFonts w:ascii="Calibri" w:cs="Calibri" w:eastAsia="Calibri" w:hAnsi="Calibri"/>
        </w:rPr>
        <w:t xml:space="preserve"> The injection filter and the PII rules are plain patterns: the filter can block a harmless message that happens to contain one of its phrases, the phone rule can mask a long number that is not a phone number, and the model may call the order tool without a limit.</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chatbot call, and the chatbot's LLM never sees customers' e-mail addresses (the evaluation's judge and ablation runs use the raw synthetic test messages). Order data, however, is shown to anyone who knows the order number: there is no e-mail check, which a real shop would need before going live.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orders one number at a time; it cannot list or change them.</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web chat does not show such a notice yet.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