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CoworkPowers</w:t>
      </w:r>
    </w:p>
    <w:p>
      <w:pPr>
        <w:spacing w:after="400"/>
        <w:jc w:val="center"/>
      </w:pPr>
      <w:r>
        <w:rPr>
          <w:rFonts w:ascii="Arial" w:cs="Arial" w:eastAsia="Arial" w:hAnsi="Arial"/>
          <w:color w:val="2D6BB4"/>
          <w:sz w:val="28"/>
          <w:szCs w:val="28"/>
        </w:rPr>
        <w:t xml:space="preserve">Knowledge Work Superpowers for Pharma/Biotech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color w:val="8C8C8C"/>
          <w:sz w:val="24"/>
          <w:szCs w:val="24"/>
        </w:rPr>
        <w:t xml:space="preserve">Plugin Guide: Skills, Agents &amp; Use Cases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8C8C8C"/>
          <w:sz w:val="20"/>
          <w:szCs w:val="20"/>
        </w:rPr>
        <w:t xml:space="preserve">Version 1.0 | March 2026</w:t>
      </w:r>
    </w:p>
    <w:p>
      <w:pPr>
        <w:jc w:val="center"/>
      </w:pPr>
      <w:r>
        <w:rPr>
          <w:rFonts w:ascii="Arial" w:cs="Arial" w:eastAsia="Arial" w:hAnsi="Arial"/>
          <w:color w:val="8C8C8C"/>
          <w:sz w:val="20"/>
          <w:szCs w:val="20"/>
        </w:rPr>
        <w:t xml:space="preserve">For use with Claude Code (Plugin) and Claude.ai (Project Knowledge)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What Is CoworkPowers?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CoworkPowers is a Claude Code plugin</w:t>
      </w:r>
      <w:r>
        <w:rPr>
          <w:rFonts w:ascii="Arial" w:cs="Arial" w:eastAsia="Arial" w:hAnsi="Arial"/>
          <w:sz w:val="22"/>
          <w:szCs w:val="22"/>
        </w:rPr>
        <w:t xml:space="preserve"> that gives Claude systematic capabilities for pharma/biotech clinical development and consulting work. It organizes knowledge work into a four-phase compound loop where each completed task feeds insights back into the system, making the next similar task faster and better.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includes </w:t>
      </w:r>
      <w:r>
        <w:rPr>
          <w:rFonts w:ascii="Arial" w:cs="Arial" w:eastAsia="Arial" w:hAnsi="Arial"/>
          <w:b/>
          <w:bCs/>
          <w:color w:val="2D6BB4"/>
          <w:sz w:val="22"/>
          <w:szCs w:val="22"/>
        </w:rPr>
        <w:t xml:space="preserve">31 specialized agents</w:t>
      </w:r>
      <w:r>
        <w:rPr>
          <w:rFonts w:ascii="Arial" w:cs="Arial" w:eastAsia="Arial" w:hAnsi="Arial"/>
          <w:sz w:val="22"/>
          <w:szCs w:val="22"/>
        </w:rPr>
        <w:t xml:space="preserve"> across 4 categories, </w:t>
      </w:r>
      <w:r>
        <w:rPr>
          <w:rFonts w:ascii="Arial" w:cs="Arial" w:eastAsia="Arial" w:hAnsi="Arial"/>
          <w:b/>
          <w:bCs/>
          <w:color w:val="2D6BB4"/>
          <w:sz w:val="22"/>
          <w:szCs w:val="22"/>
        </w:rPr>
        <w:t xml:space="preserve">4 workflow skills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2D6BB4"/>
          <w:sz w:val="22"/>
          <w:szCs w:val="22"/>
        </w:rPr>
        <w:t xml:space="preserve">MBB consulting standards</w:t>
      </w:r>
      <w:r>
        <w:rPr>
          <w:rFonts w:ascii="Arial" w:cs="Arial" w:eastAsia="Arial" w:hAnsi="Arial"/>
          <w:sz w:val="22"/>
          <w:szCs w:val="22"/>
        </w:rPr>
        <w:t xml:space="preserve"> (McKinsey, Bain, BCG) for all deliverables.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1.1 The Compound Knowledge Work Loop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task follows four phases: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Command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Research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/coworkpowers:workflow-research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Classify task, gather evidence from scientific databases, synthesize into actionable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2. 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/coworkpowers:workflow-work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Execute the plan with specialized agents matched to task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/coworkpowers:workflow-review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Multi-perspective quality review scaled to stakes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4. Compound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/coworkpowers:workflow-compound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Extract reusable patterns, templates, preferences, and insights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1.2 Domain Focus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Pharma/Biotech Clinical Development: </w:t>
      </w:r>
      <w:r>
        <w:rPr>
          <w:rFonts w:ascii="Arial" w:cs="Arial" w:eastAsia="Arial" w:hAnsi="Arial"/>
          <w:sz w:val="22"/>
          <w:szCs w:val="22"/>
        </w:rPr>
        <w:t xml:space="preserve">Trial design, competitive landscape, regulatory strategy, endpoint selection, investigator identification, literature reviews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Consulting: </w:t>
      </w:r>
      <w:r>
        <w:rPr>
          <w:rFonts w:ascii="Arial" w:cs="Arial" w:eastAsia="Arial" w:hAnsi="Arial"/>
          <w:sz w:val="22"/>
          <w:szCs w:val="22"/>
        </w:rPr>
        <w:t xml:space="preserve">Strategic analysis, due diligence, market access &amp; pricing, proposals &amp; SOWs, client deliverables, decision frameworks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1.3 MCP Tool Integration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Research agents are wired to scientific databases via MCP connections: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PubMed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Published literature, clinical trial results, systematic reviews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literature-scout, scientific-rigor-reviewer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bioRxiv / medRxiv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Preprints before peer review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literature-scout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Trial landscape, sponsor pipelines, investigators, endpoints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clinical-landscape, competitive-intel, clinical-strategist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ChEMBL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Compound profiles, target biology, bioactivity, drug mechanisms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competitive-intel, analyst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Targets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Target-disease associations, genetic evidence, tractability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competitive-intel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Complete Agent Roster (31 Agents)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2.1 Research Agents (9)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agents gather evidence, map landscapes, and build the foundation for execution.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MCP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context-gatherer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Searches past learnings, reads user materials, identifies gaps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system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literature-scout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PubMed + bioRxiv/medRxiv literature search and synthesis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PubMed, bioRxiv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clinical-landscape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Maps clinical trial landscape by phase, endpoint, investigator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competitive-intel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Competitor pipelines, compound profiles, target biology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ClinicalTrials.gov, ChEMBL, Open Targets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stakeholder-mapper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KOLs, regulators, payers, investors — power-interest grid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(investigators)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regulatory-scanner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FDA/EMA guidance, precedents, designation eligibility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Web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constraint-analyzer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Budget, timeline, enrollment feasibility, political dynamics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precedent-researcher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Past learnings + industry best practices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File system, web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plan-synthesizer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Merges all agent outputs into structured execution 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(synthesis only)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2.2 Work Agents (9)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agents execute specific types of knowledge work, each with domain expertise.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Type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executive-writer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reports, board materials, strategic memos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written deliverable for an audience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analyst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Competitive analysis, market sizing, benchmarking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Quantitative or structured analytical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decision-architect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Go/no-go, portfolio prioritization, strategic choices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Decisions with trade-offs needing frameworks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clinical-strategist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Protocol design, endpoint selection, development plans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Clinical development-specific execution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meeting-orchestrator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Advisory boards, investigator meetings, client meetings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Meeting preparation or facilitation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regulatory-writer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Briefing documents, designation requests, submission plans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Regulatory-specific deliverables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due-diligence-analyst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Asset/company/deal evaluation, licensing assessment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Due diligence across all dimensions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market-access-strategist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Pricing, payer landscape, HTA readiness, value dossiers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Market access and reimbursement strategy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proposal-writer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proposals, SOWs, engagement scoping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development and scoping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2.3 Review Agents (8)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Independent quality reviewers, each examining work from a different angle. Findings tagged as Critical / Important / Minor.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clarity-reviewer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Structure, readability, scannability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completeness-auditor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Plan objectives addressed, citations, content gaps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Always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scientific-rigor-reviewer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 quality, statistical claims, cross-trial caveats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Clinical, literature, data-heavy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regulatory-compliance-reviewer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Agency terminology, claim appropriateness, format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Regulatory docs, clinical plans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tone-calibrator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Audience-appropriate formality, confidence calibration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deliverables, board materials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strategic-coherence-reviewer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Logic chain, narrative consistency, actionability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Strategy, consulting, decisions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devils-advocate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Counter-arguments, blind spots, untested assumptions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Board/Regulatory stakes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risk-assessor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Probability × impact, missing mitigations, tail risks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Board/Regulatory stakes only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2.4 Compound Agents (5)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agents extract reusable knowledge after work is complete, closing the compound loop.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Extracts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pattern-extractor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Reusable approaches that worked (or anti-patterns that didn’t)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template-creator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Document skeletons, table formats, outlines ready for reuse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preference-learner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and stakeholder style, format, tone preferences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failure-analyzer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What went wrong, root causes, prevention strategies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domain-insight-capturer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Scientific facts, regulatory precedents, competitive intel worth remembering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Stakes-Based Rigor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CoworkPowers scales effort to match the importance of the task. Higher stakes activate more agents and deeper review.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Stakes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Agents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Agents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notes, quick lookups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Context-gatherer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Team analysis, standard comms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2–3 domain agents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2–3 (core + 1 domain)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High-Stakes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deliverables, strategic decisions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domain roster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5–6 (core + domain)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Board/Regulatory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Board presentations, regulatory submissions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All agents + 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All 8 including stress tests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Use Cases and Examples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4.1 Competitive Landscape Analysis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Scenario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biotech company needs a competitive landscape for GLP-1 receptor agonists in MASH (metabolic dysfunction-associated steatohepatitis) to inform their Phase 3 trial design.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Research: </w:t>
      </w:r>
      <w:r>
        <w:rPr>
          <w:rFonts w:ascii="Arial" w:cs="Arial" w:eastAsia="Arial" w:hAnsi="Arial"/>
          <w:sz w:val="22"/>
          <w:szCs w:val="22"/>
        </w:rPr>
        <w:t xml:space="preserve">"/coworkpowers:workflow-research" — Classify as competitive-intelligence, high-stakes. Launch literature-scout (PubMed for MASH trial results), clinical-landscape (all MASH trials by phase), competitive-intel (ChEMBL compound profiles for semaglutide, survodutide, resmetirom), regulatory-scanner (FDA guidance on MASH endpoints).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Work: </w:t>
      </w:r>
      <w:r>
        <w:rPr>
          <w:rFonts w:ascii="Arial" w:cs="Arial" w:eastAsia="Arial" w:hAnsi="Arial"/>
          <w:sz w:val="22"/>
          <w:szCs w:val="22"/>
        </w:rPr>
        <w:t xml:space="preserve">"/coworkpowers:workflow-work" — Analyst agent produces competitor pipeline table, compound profiles with IC50/efficacy data, differentiation matrix, and strategic implications. Executive-writer assembles into MBB-standard Word report with SCR executive summary.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Review: </w:t>
      </w:r>
      <w:r>
        <w:rPr>
          <w:rFonts w:ascii="Arial" w:cs="Arial" w:eastAsia="Arial" w:hAnsi="Arial"/>
          <w:sz w:val="22"/>
          <w:szCs w:val="22"/>
        </w:rPr>
        <w:t xml:space="preserve">"/coworkpowers:workflow-review" — Scientific-rigor-reviewer verifies efficacy claims and cross-trial comparison caveats. Completeness-auditor checks all Phase 3 competitors included. Strategic-coherence-reviewer validates the positioning recommendation.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Compound: </w:t>
      </w:r>
      <w:r>
        <w:rPr>
          <w:rFonts w:ascii="Arial" w:cs="Arial" w:eastAsia="Arial" w:hAnsi="Arial"/>
          <w:sz w:val="22"/>
          <w:szCs w:val="22"/>
        </w:rPr>
        <w:t xml:space="preserve">"/coworkpowers:workflow-compound" — Extracts MASH competitive landscape template, search strategy pattern for PubMed/ClinicalTrials.gov, and domain insights on endpoint trends.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4.2 Clinical Development Plan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Scenario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pharma company needs a clinical development plan for a novel bispecific antibody targeting PD-1/LAG-3 in non-small cell lung cancer (NSCLC), currently in Phase 1.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Research: </w:t>
      </w:r>
      <w:r>
        <w:rPr>
          <w:rFonts w:ascii="Arial" w:cs="Arial" w:eastAsia="Arial" w:hAnsi="Arial"/>
          <w:sz w:val="22"/>
          <w:szCs w:val="22"/>
        </w:rPr>
        <w:t xml:space="preserve">Literature-scout searches PubMed for PD-1/LAG-3 biology and NSCLC immunotherapy endpoints. Clinical-landscape maps all active NSCLC immunotherapy trials. Regulatory-scanner identifies FDA guidance on oncology endpoints and recent approvals. Constraint-analyzer assesses enrollment feasibility given competing trials.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Work: </w:t>
      </w:r>
      <w:r>
        <w:rPr>
          <w:rFonts w:ascii="Arial" w:cs="Arial" w:eastAsia="Arial" w:hAnsi="Arial"/>
          <w:sz w:val="22"/>
          <w:szCs w:val="22"/>
        </w:rPr>
        <w:t xml:space="preserve">Clinical-strategist produces Target Product Profile, Phase 2 protocol concept with endpoint rationale grounded in regulatory precedent, enrollment strategy, and development timeline. Regulatory-writer drafts BTD request outline based on preliminary Phase 1 data.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Review: </w:t>
      </w:r>
      <w:r>
        <w:rPr>
          <w:rFonts w:ascii="Arial" w:cs="Arial" w:eastAsia="Arial" w:hAnsi="Arial"/>
          <w:sz w:val="22"/>
          <w:szCs w:val="22"/>
        </w:rPr>
        <w:t xml:space="preserve">Full review panel including scientific-rigor, regulatory-compliance, strategic-coherence, and risk-assessor for Board/Regulatory stakes.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4.3 Due Diligence for Licensing Opportunity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Scenario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mid-size pharma company is evaluating a licensing opportunity for an oral GLP-1 receptor agonist in obesity from a biotech partner.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Research: </w:t>
      </w:r>
      <w:r>
        <w:rPr>
          <w:rFonts w:ascii="Arial" w:cs="Arial" w:eastAsia="Arial" w:hAnsi="Arial"/>
          <w:sz w:val="22"/>
          <w:szCs w:val="22"/>
        </w:rPr>
        <w:t xml:space="preserve">Competitive-intel maps the GLP-1 landscape (ChEMBL compound profiles, ClinicalTrials.gov sponsor pipelines for Novo Nordisk, Lilly, Amgen). Literature-scout gathers Phase 2 efficacy and safety data. Regulatory-scanner assesses approval precedents and FDA weight-loss endpoint guidance.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Work: </w:t>
      </w:r>
      <w:r>
        <w:rPr>
          <w:rFonts w:ascii="Arial" w:cs="Arial" w:eastAsia="Arial" w:hAnsi="Arial"/>
          <w:sz w:val="22"/>
          <w:szCs w:val="22"/>
        </w:rPr>
        <w:t xml:space="preserve">Due-diligence-analyst produces a full DD report with Go/Conditional Go/No-Go assessment across science, clinical, competitive, commercial, and risk dimensions. Analyst builds market sizing model (epidemiology funnel) and pricing corridor analysis. Market-access-strategist assesses payer landscape and HTA readiness.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Review: </w:t>
      </w:r>
      <w:r>
        <w:rPr>
          <w:rFonts w:ascii="Arial" w:cs="Arial" w:eastAsia="Arial" w:hAnsi="Arial"/>
          <w:sz w:val="22"/>
          <w:szCs w:val="22"/>
        </w:rPr>
        <w:t xml:space="preserve">Full panel including devil’s-advocate stress test: “What if Amgen’s oral GLP-1 reports superior data at ADA next year?”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4.4 Client Proposal for Market Access Engagement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Scenario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Your consulting firm is pitching a market access strategy engagement to a biotech client launching a gene therapy for hemophilia 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Research: </w:t>
      </w:r>
      <w:r>
        <w:rPr>
          <w:rFonts w:ascii="Arial" w:cs="Arial" w:eastAsia="Arial" w:hAnsi="Arial"/>
          <w:sz w:val="22"/>
          <w:szCs w:val="22"/>
        </w:rPr>
        <w:t xml:space="preserve">Literature-scout reviews hemophilia A burden-of-illness data. Competitive-intel maps gene therapy competitors (BioMarin, Pfizer). Regulatory-scanner identifies HTA body requirements for gene therapies. Stakeholder-mapper identifies key payer decision-makers.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Work: </w:t>
      </w:r>
      <w:r>
        <w:rPr>
          <w:rFonts w:ascii="Arial" w:cs="Arial" w:eastAsia="Arial" w:hAnsi="Arial"/>
          <w:sz w:val="22"/>
          <w:szCs w:val="22"/>
        </w:rPr>
        <w:t xml:space="preserve">Proposal-writer drafts a full proposal using SCR executive summary, showing deep understanding of the hemophilia A market access challenge (one-time gene therapy pricing, outcomes-based agreements, payer willingness-to-pay thresholds). Includes workstream structure, timeline, team, and investment.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Review: </w:t>
      </w:r>
      <w:r>
        <w:rPr>
          <w:rFonts w:ascii="Arial" w:cs="Arial" w:eastAsia="Arial" w:hAnsi="Arial"/>
          <w:sz w:val="22"/>
          <w:szCs w:val="22"/>
        </w:rPr>
        <w:t xml:space="preserve">Tone-calibrator ensures client-centric language. Strategic-coherence-reviewer checks that the proposed approach matches the stated challenge. Completeness-auditor verifies all proposal sections present.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4.5 Regulatory Briefing Document for FDA Meeting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Scenario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biotech company needs an End-of-Phase-2 (EOP2) briefing document for an FDA Type B meeting on their CDK4/6 inhibitor in HR+/HER2- breast cancer.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Research: </w:t>
      </w:r>
      <w:r>
        <w:rPr>
          <w:rFonts w:ascii="Arial" w:cs="Arial" w:eastAsia="Arial" w:hAnsi="Arial"/>
          <w:sz w:val="22"/>
          <w:szCs w:val="22"/>
        </w:rPr>
        <w:t xml:space="preserve">Regulatory-scanner identifies FDA breast cancer guidance, recent AdCom precedents, and approved CDK4/6 inhibitor data packages (palbociclib, ribociclib, abemaciclib). Clinical-landscape maps ongoing Phase 3 trials in the space. Literature-scout gathers published Phase 2 results for the compound.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Work: </w:t>
      </w:r>
      <w:r>
        <w:rPr>
          <w:rFonts w:ascii="Arial" w:cs="Arial" w:eastAsia="Arial" w:hAnsi="Arial"/>
          <w:sz w:val="22"/>
          <w:szCs w:val="22"/>
        </w:rPr>
        <w:t xml:space="preserve">Regulatory-writer drafts the FDA briefing document: clinical data summary with CIs and p-values, proposed Phase 3 design, and 5 specific questions for FDA. Clinical-strategist provides endpoint rationale grounded in regulatory precedent.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Review: </w:t>
      </w:r>
      <w:r>
        <w:rPr>
          <w:rFonts w:ascii="Arial" w:cs="Arial" w:eastAsia="Arial" w:hAnsi="Arial"/>
          <w:sz w:val="22"/>
          <w:szCs w:val="22"/>
        </w:rPr>
        <w:t xml:space="preserve">Regulatory-compliance-reviewer checks all terminology, claim appropriateness, and format compliance. Scientific-rigor-reviewer verifies all data. Risk-assessor identifies regulatory risks.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4.6 Strategic Decision: Advance or Terminate a Program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Scenario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pharma company’s Phase 2 trial for a JAK inhibitor in atopic dermatitis showed mixed results. The executive team needs a Go/No-Go recommendation.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Research: </w:t>
      </w:r>
      <w:r>
        <w:rPr>
          <w:rFonts w:ascii="Arial" w:cs="Arial" w:eastAsia="Arial" w:hAnsi="Arial"/>
          <w:sz w:val="22"/>
          <w:szCs w:val="22"/>
        </w:rPr>
        <w:t xml:space="preserve">Literature-scout gathers Phase 2 data and competitor results. Clinical-landscape maps the AD competitive pipeline. Competitive-intel profiles upadacitinib, abrocitinib, and baricitinib from ChEMBL. Constraint-analyzer assesses remaining budget and Phase 3 cost estimates.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Work: </w:t>
      </w:r>
      <w:r>
        <w:rPr>
          <w:rFonts w:ascii="Arial" w:cs="Arial" w:eastAsia="Arial" w:hAnsi="Arial"/>
          <w:sz w:val="22"/>
          <w:szCs w:val="22"/>
        </w:rPr>
        <w:t xml:space="preserve">Decision-architect applies Go/No-Go Decision Matrix + TPP Gap Analysis + Pre-Mortem. Frames the decision with quantified trade-offs: “Advancing costs $120M with 40% PTS; terminating preserves capital for [alternative program] with 55% PTS.” Delivers clear recommendation with kill criteria.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Review: </w:t>
      </w:r>
      <w:r>
        <w:rPr>
          <w:rFonts w:ascii="Arial" w:cs="Arial" w:eastAsia="Arial" w:hAnsi="Arial"/>
          <w:sz w:val="22"/>
          <w:szCs w:val="22"/>
        </w:rPr>
        <w:t xml:space="preserve">Devil’s-advocate constructs the case for advancing despite mixed data. Risk-assessor maps the full risk landscape. Strategic-coherence-reviewer ensures the recommendation aligns with portfolio strategy.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How to Use CoworkPowers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5.1 Using with Claude Code (Plugin)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CoworkPowers runs as a Claude Code plugin.</w:t>
      </w:r>
      <w:r>
        <w:rPr>
          <w:rFonts w:ascii="Arial" w:cs="Arial" w:eastAsia="Arial" w:hAnsi="Arial"/>
          <w:sz w:val="22"/>
          <w:szCs w:val="22"/>
        </w:rPr>
        <w:t xml:space="preserve"> No installation is needed beyond having the plugin directory.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Setup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Option A: Run Claude Code from inside the CoworkPowers directory: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8A7D"/>
          <w:sz w:val="20"/>
          <w:szCs w:val="20"/>
        </w:rPr>
        <w:t xml:space="preserve">    cd /path/to/CoworkPowers &amp;&amp; claude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Option B: Point Claude Code to the plugin directory: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8A7D"/>
          <w:sz w:val="20"/>
          <w:szCs w:val="20"/>
        </w:rPr>
        <w:t xml:space="preserve">    claude --plugin-dir /path/to/CoworkPowers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Running Skills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Once loaded, invoke skills by typing the command in your Claude Code session: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8A7D"/>
          <w:sz w:val="20"/>
          <w:szCs w:val="20"/>
        </w:rPr>
        <w:t xml:space="preserve">    /coworkpowers:workflow-research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8A7D"/>
          <w:sz w:val="20"/>
          <w:szCs w:val="20"/>
        </w:rPr>
        <w:t xml:space="preserve">    /coworkpowers:workflow-work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8A7D"/>
          <w:sz w:val="20"/>
          <w:szCs w:val="20"/>
        </w:rPr>
        <w:t xml:space="preserve">    /coworkpowers:workflow-review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8A7D"/>
          <w:sz w:val="20"/>
          <w:szCs w:val="20"/>
        </w:rPr>
        <w:t xml:space="preserve">    /coworkpowers:workflow-compound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Claude will automatically orchestrate the appropriate agents, use available MCP tools, and produce structured output.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Example Session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8A7D"/>
          <w:sz w:val="20"/>
          <w:szCs w:val="20"/>
        </w:rPr>
        <w:t xml:space="preserve">    &gt; /coworkpowers:workflow-research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8C8C8C"/>
          <w:sz w:val="20"/>
          <w:szCs w:val="20"/>
        </w:rPr>
        <w:t xml:space="preserve">    &gt; Build a competitive landscape for SGLT2 inhibitors in heart failure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Claude classifies the task, asks clarifying questions, launches research agents in parallel, and produces a structured plan. Then: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8A7D"/>
          <w:sz w:val="20"/>
          <w:szCs w:val="20"/>
        </w:rPr>
        <w:t xml:space="preserve">    &gt; /coworkpowers:workflow-work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Claude executes the plan, producing an MBB-standard competitive landscape report.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5.2 Using with Claude.ai (Web App)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CoworkPowers works on claude.ai as Project Knowledge.</w:t>
      </w:r>
      <w:r>
        <w:rPr>
          <w:rFonts w:ascii="Arial" w:cs="Arial" w:eastAsia="Arial" w:hAnsi="Arial"/>
          <w:sz w:val="22"/>
          <w:szCs w:val="22"/>
        </w:rPr>
        <w:t xml:space="preserve"> The automated agent orchestration isn’t available, but you get the same expertise, standards, and frameworks.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Setup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Create a new Project in claude.ai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Upload the 6 knowledge files from the claude-ai-project/ folder: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8C8C8C"/>
          <w:sz w:val="18"/>
          <w:szCs w:val="18"/>
        </w:rPr>
        <w:t xml:space="preserve">    01-PROJECT-INSTRUCTIONS.md (also copy into Custom Instructions field)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8C8C8C"/>
          <w:sz w:val="18"/>
          <w:szCs w:val="18"/>
        </w:rPr>
        <w:t xml:space="preserve">    02-RESEARCH-METHODOLOGY.md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8C8C8C"/>
          <w:sz w:val="18"/>
          <w:szCs w:val="18"/>
        </w:rPr>
        <w:t xml:space="preserve">    03-WORK-EXECUTION-GUIDE.md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8C8C8C"/>
          <w:sz w:val="18"/>
          <w:szCs w:val="18"/>
        </w:rPr>
        <w:t xml:space="preserve">    04-REVIEW-AND-QUALITY.md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8C8C8C"/>
          <w:sz w:val="18"/>
          <w:szCs w:val="18"/>
        </w:rPr>
        <w:t xml:space="preserve">    05-MBB-CONSULTING-STANDARDS.md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8C8C8C"/>
          <w:sz w:val="18"/>
          <w:szCs w:val="18"/>
        </w:rPr>
        <w:t xml:space="preserve">    06-PROMPT-TEMPLATES.md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Connect MCP tools (PubMed, ClinicalTrials.gov, bioRxiv, ChEMBL) in project settings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Using Prompt Templates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Open 06-PROMPT-TEMPLATES.md and copy-paste the relevant prompt template. Fill in the [bracketed items] with your specifics. For example: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"I need to research </w:t>
      </w:r>
      <w:r>
        <w:rPr>
          <w:rFonts w:ascii="Arial" w:cs="Arial" w:eastAsia="Arial" w:hAnsi="Arial"/>
          <w:b/>
          <w:bCs/>
          <w:color w:val="2D6BB4"/>
          <w:sz w:val="22"/>
          <w:szCs w:val="22"/>
        </w:rPr>
        <w:t xml:space="preserve">the competitive landscape for bispecific antibodies in multiple myeloma</w:t>
      </w:r>
      <w:r>
        <w:rPr>
          <w:rFonts w:ascii="Arial" w:cs="Arial" w:eastAsia="Arial" w:hAnsi="Arial"/>
          <w:sz w:val="22"/>
          <w:szCs w:val="22"/>
        </w:rPr>
        <w:t xml:space="preserve"> for </w:t>
      </w:r>
      <w:r>
        <w:rPr>
          <w:rFonts w:ascii="Arial" w:cs="Arial" w:eastAsia="Arial" w:hAnsi="Arial"/>
          <w:b/>
          <w:bCs/>
          <w:color w:val="2D6BB4"/>
          <w:sz w:val="22"/>
          <w:szCs w:val="22"/>
        </w:rPr>
        <w:t xml:space="preserve">a client strategy presentation</w:t>
      </w:r>
      <w:r>
        <w:rPr>
          <w:rFonts w:ascii="Arial" w:cs="Arial" w:eastAsia="Arial" w:hAnsi="Arial"/>
          <w:sz w:val="22"/>
          <w:szCs w:val="22"/>
        </w:rPr>
        <w:t xml:space="preserve">. Therapeutic area: </w:t>
      </w:r>
      <w:r>
        <w:rPr>
          <w:rFonts w:ascii="Arial" w:cs="Arial" w:eastAsia="Arial" w:hAnsi="Arial"/>
          <w:b/>
          <w:bCs/>
          <w:color w:val="2D6BB4"/>
          <w:sz w:val="22"/>
          <w:szCs w:val="22"/>
        </w:rPr>
        <w:t xml:space="preserve">hematology/oncology</w:t>
      </w:r>
      <w:r>
        <w:rPr>
          <w:rFonts w:ascii="Arial" w:cs="Arial" w:eastAsia="Arial" w:hAnsi="Arial"/>
          <w:sz w:val="22"/>
          <w:szCs w:val="22"/>
        </w:rPr>
        <w:t xml:space="preserve">. Stakes level: </w:t>
      </w:r>
      <w:r>
        <w:rPr>
          <w:rFonts w:ascii="Arial" w:cs="Arial" w:eastAsia="Arial" w:hAnsi="Arial"/>
          <w:b/>
          <w:bCs/>
          <w:color w:val="2D6BB4"/>
          <w:sz w:val="22"/>
          <w:szCs w:val="22"/>
        </w:rPr>
        <w:t xml:space="preserve">high-stakes</w:t>
      </w:r>
      <w:r>
        <w:rPr>
          <w:rFonts w:ascii="Arial" w:cs="Arial" w:eastAsia="Arial" w:hAnsi="Arial"/>
          <w:sz w:val="22"/>
          <w:szCs w:val="22"/>
        </w:rPr>
        <w:t xml:space="preserve">. Please follow the Research Methodology from project knowledge..."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Claude.ai vs. Claude Code: What’s Different?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(Plugin)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Claude.ai (Project)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— agents launch in parallel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— you guide the workflow via prompts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MCP tools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Auto-discovered and wired to agents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Connected via project settings, used directly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generation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docx and pptx skills produce 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Produces markdown; copy to Word/PPT manually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Learning 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.context/learnings/ with YAML frontmatter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Not available — capture learnings manually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Stakes scaling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 — agents selected by stakes level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— you choose review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Coverage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~100% of capabilities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~70–80% of capabilities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MBB Consulting Standards (Summary)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deliverables follow McKinsey, Bain, and BCG best practices. The full standards are in standards/consulting-documents.md.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6.1 Core Principles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Pyramid Principle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with the answer/recommendation. Support with 2–4 MECE reasons. Evidence underneath.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MECE Thinking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All frameworks are Mutually Exclusive and Collectively Exhaustive.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 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with Situation → Complication → Resolution.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Action Titles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Every heading is a complete sentence stating the key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Message Per Unit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message per slide, per paragraph, per exhibit.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6.2 Color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 Navy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#1B2A4A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Titles, primary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Medium 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#2D6BB4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Emphasis, primary data series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#1A8A7D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 data series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Warm Gray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#8C8C8C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Supporting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 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#C23B22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Risks and critical items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White / Light Gray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#FFFFFF / #F5F5F5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Backgrounds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BB4"/>
          <w:sz w:val="26"/>
          <w:szCs w:val="26"/>
        </w:rPr>
        <w:t xml:space="preserve">6.3 Quality Checklist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Applied to every deliverable before delivery: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Pyramid principle: answer first, then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 framing in introduction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 titles on every heading/slide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Executive summary stands alone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claim has a cited source (PMID, NCT, DOI)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Recommendations are specific and actionable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 steps have owners and timelines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 lines on every data exhibit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Professional color palette, consistent formatting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Active voice, no filler words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Plugin File Structure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complete plugin contains 42 files organized as follows:</w:t>
      </w:r>
    </w:p>
    <w:p>
      <w:pPr>
        <w:spacing w:after="10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CoworkPowers/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.claude-plugin/plugin.json          — Plugin manifest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CLAUDE.md                            — Project instructions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CONNECTORS.md                        — MCP tool mapping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README.md                            — Full documentation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standards/consulting-documents.md    — MBB quality standards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skills/workflow-research/SKILL.md    — Research phase skill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skills/workflow-work/SKILL.md        — Work phase skill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skills/workflow-review/SKILL.md      — Review phase skill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skills/workflow-compound/SKILL.md    — Compound phase skill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agents/research/ (9 agents)          — Evidence gathering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agents/work/ (9 agents)              — Task execution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agents/review/ (8 agents)            — Quality review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agents/compound/ (5 agents)          — Learning extraction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.context/learnings/INDEX.md          — Learning storage index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claude-ai-project/ (6 files)         — Claude.ai webapp version</w:t>
      </w:r>
    </w:p>
    <w:p w:rsidR="551A4624" w:rsidRDefault="551A4624" w:rsidP="551A4624" w14:paraId="5EDEB31D" w14:textId="27146A07">
      <w:r w:rsidR="551A4624">
        <w:br w:type="page"/>
      </w:r>
    </w:p>
    <w:p w:rsidR="551A4624" w:rsidRDefault="551A4624" w:rsidP="551A4624" w14:paraId="0C76F191" w14:textId="4E25F8D4">
      <w:pPr>
        <w:pStyle w:val="Heading1"/>
      </w:pPr>
      <w:r w:rsidR="551A4624">
        <w:t>8. Domain-Portable Architecture</w:t>
      </w:r>
    </w:p>
    <w:p w:rsidR="551A4624" w:rsidRDefault="551A4624" w:rsidP="551A4624" w14:paraId="21E917C9" w14:textId="19F91C6E">
      <w:pPr>
        <w:spacing w:after="120" w:before="60"/>
      </w:pPr>
      <w:r w:rsidR="551A4624">
        <w:t xml:space="preserve">The CoworkPowers architecture is fundamentally domain-agnostic. The 4-phase compound loop, progressive loading, parallel agent orchestration, and learnings store are patterns that apply to any knowledge-intensive work. What changes per domain is the agent prompts, MCP tools, and quality standards.</w:t>
      </w:r>
    </w:p>
    <w:p w:rsidR="551A4624" w:rsidRDefault="551A4624" w:rsidP="551A4624" w14:paraId="419E5A8C" w14:textId="5685CE30">
      <w:pPr>
        <w:pStyle w:val="Heading2"/>
      </w:pPr>
      <w:r w:rsidR="551A4624">
        <w:t>8.1 What Stays the Same (~40%)</w:t>
      </w:r>
    </w:p>
    <w:p w:rsidR="551A4624" w:rsidRDefault="551A4624" w:rsidP="551A4624" w14:paraId="007E5B3E" w14:textId="745342A2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The 4 skill orchestration files (with parameterized agent roster tables)</w:t>
      </w:r>
    </w:p>
    <w:p w:rsidR="551A4624" w:rsidRDefault="551A4624" w:rsidP="551A4624" w14:paraId="62D5FB5D" w14:textId="14F9FBC2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All 5 compound agents (pattern-extractor, template-creator, preference-learner, failure-analyzer, domain-insight-capturer)</w:t>
      </w:r>
    </w:p>
    <w:p w:rsidR="551A4624" w:rsidRDefault="551A4624" w:rsidP="551A4624" w14:paraId="62DB8492" w14:textId="20E2DBCA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Core review agents: clarity-reviewer, completeness-auditor, devils-advocate, risk-assessor</w:t>
      </w:r>
    </w:p>
    <w:p w:rsidR="551A4624" w:rsidRDefault="551A4624" w:rsidP="551A4624" w14:paraId="71612167" w14:textId="63ACB954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The learnings schema, INDEX.md, and YAML frontmatter contract</w:t>
      </w:r>
    </w:p>
    <w:p w:rsidR="551A4624" w:rsidRDefault="551A4624" w:rsidP="551A4624" w14:paraId="33C7941E" w14:textId="457F7707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Plugin infrastructure (.claude-plugin, .gitignore, CONNECTORS.md)</w:t>
      </w:r>
    </w:p>
    <w:p w:rsidR="551A4624" w:rsidRDefault="551A4624" w:rsidP="551A4624" w14:paraId="5F96F6B4" w14:textId="0D1A0DE0">
      <w:pPr>
        <w:pStyle w:val="Heading2"/>
      </w:pPr>
      <w:r w:rsidR="551A4624">
        <w:t>8.2 What Changes Per Domain (~60%)</w:t>
      </w:r>
    </w:p>
    <w:p w:rsidR="551A4624" w:rsidRDefault="551A4624" w:rsidP="551A4624" w14:paraId="050D75FE" w14:textId="1DE4FBF0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Research agent prompts (different expertise, different search strategies)</w:t>
      </w:r>
    </w:p>
    <w:p w:rsidR="551A4624" w:rsidRDefault="551A4624" w:rsidP="551A4624" w14:paraId="313BBBB7" w14:textId="7E70DC25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Work agent prompts (different deliverable types and domain standards)</w:t>
      </w:r>
    </w:p>
    <w:p w:rsidR="551A4624" w:rsidRDefault="551A4624" w:rsidP="551A4624" w14:paraId="4CB08F57" w14:textId="7DA9AC14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2-4 domain-specific review agents</w:t>
      </w:r>
    </w:p>
    <w:p w:rsidR="551A4624" w:rsidRDefault="551A4624" w:rsidP="551A4624" w14:paraId="277FF325" w14:textId="71A0B764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Quality standards files (MBB consulting vs. ICMJE/GPP3 vs. legal citation)</w:t>
      </w:r>
    </w:p>
    <w:p w:rsidR="551A4624" w:rsidRDefault="551A4624" w:rsidP="551A4624" w14:paraId="505AEC64" w14:textId="06F9F4A5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MCP tool wiring and CONNECTORS.md</w:t>
      </w:r>
    </w:p>
    <w:p w:rsidR="551A4624" w:rsidRDefault="551A4624" w:rsidP="551A4624" w14:paraId="2FD9ED38" w14:textId="1341F0C4">
      <w:pPr>
        <w:pStyle w:val="Heading2"/>
      </w:pPr>
      <w:r w:rsidR="551A4624">
        <w:t>8.3 Available Domain Plugins</w:t>
      </w:r>
    </w:p>
    <w:tbl>
      <w:tblPr>
        <w:tblStyle w:val="TableGrid"/>
        <w:tblW w:w="0" w:type="auto"/>
      </w:tblPr>
      <w:tblGrid>
        <w:gridCol w:w="3116"/>
        <w:gridCol w:w="3116"/>
        <w:gridCol w:w="3116"/>
      </w:tblGrid>
      <w:tr>
        <w:tc>
          <w:tcPr>
            <w:tcW w:w="0" w:type="auto"/>
            <w:shd w:fill="1B2A4A" w:val="clear"/>
          </w:tcPr>
          <w:p w:rsidR="551A4624" w:rsidRDefault="551A4624" w:rsidP="551A4624" w14:paraId="02A717D8" w14:textId="53CA0BF3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Plugin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36D66887" w14:textId="78C2691B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Domain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79AE6D36" w14:textId="09CCE40A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Status</w:t>
            </w:r>
          </w:p>
        </w:tc>
      </w:tr>
      <w:tr>
        <w:tc>
          <w:tcPr>
            <w:tcW w:w="0" w:type="auto"/>
          </w:tcPr>
          <w:p w:rsidR="551A4624" w:rsidRDefault="551A4624" w:rsidP="551A4624" w14:paraId="739284FF" w14:textId="5160212F">
            <w:r w:rsidR="551A4624">
              <w:rPr>
                <w:sz w:val="18"/>
                <w:szCs w:val="18"/>
              </w:rPr>
              <w:t xml:space="preserve">CoworkPowers</w:t>
            </w:r>
          </w:p>
        </w:tc>
        <w:tc>
          <w:tcPr>
            <w:tcW w:w="0" w:type="auto"/>
          </w:tcPr>
          <w:p w:rsidR="551A4624" w:rsidRDefault="551A4624" w:rsidP="551A4624" w14:paraId="3DAEA913" w14:textId="3691EAF8">
            <w:r w:rsidR="551A4624">
              <w:rPr>
                <w:sz w:val="18"/>
                <w:szCs w:val="18"/>
              </w:rPr>
              <w:t xml:space="preserve">Pharma/Biotech Consulting</w:t>
            </w:r>
          </w:p>
        </w:tc>
        <w:tc>
          <w:tcPr>
            <w:tcW w:w="0" w:type="auto"/>
          </w:tcPr>
          <w:p w:rsidR="551A4624" w:rsidRDefault="551A4624" w:rsidP="551A4624" w14:paraId="64C09713" w14:textId="28A38BFF">
            <w:r w:rsidR="551A4624">
              <w:rPr>
                <w:sz w:val="18"/>
                <w:szCs w:val="18"/>
              </w:rPr>
              <w:t xml:space="preserve">Released v1.0</w:t>
            </w:r>
          </w:p>
        </w:tc>
      </w:tr>
      <w:tr>
        <w:tc>
          <w:tcPr>
            <w:tcW w:w="0" w:type="auto"/>
          </w:tcPr>
          <w:p w:rsidR="551A4624" w:rsidRDefault="551A4624" w:rsidP="551A4624" w14:paraId="1AADD955" w14:textId="6F5A0889">
            <w:r w:rsidR="551A4624">
              <w:rPr>
                <w:sz w:val="18"/>
                <w:szCs w:val="18"/>
              </w:rPr>
              <w:t xml:space="preserve">CoworkPowers-MedAffairs</w:t>
            </w:r>
          </w:p>
        </w:tc>
        <w:tc>
          <w:tcPr>
            <w:tcW w:w="0" w:type="auto"/>
          </w:tcPr>
          <w:p w:rsidR="551A4624" w:rsidRDefault="551A4624" w:rsidP="551A4624" w14:paraId="5FFE1456" w14:textId="2B28B588">
            <w:r w:rsidR="551A4624">
              <w:rPr>
                <w:sz w:val="18"/>
                <w:szCs w:val="18"/>
              </w:rPr>
              <w:t xml:space="preserve">Medical Affairs &amp; HEOR</w:t>
            </w:r>
          </w:p>
        </w:tc>
        <w:tc>
          <w:tcPr>
            <w:tcW w:w="0" w:type="auto"/>
          </w:tcPr>
          <w:p w:rsidR="551A4624" w:rsidRDefault="551A4624" w:rsidP="551A4624" w14:paraId="17C1A5C9" w14:textId="139F261D">
            <w:r w:rsidR="551A4624">
              <w:rPr>
                <w:sz w:val="18"/>
                <w:szCs w:val="18"/>
              </w:rPr>
              <w:t xml:space="preserve">Released v1.0</w:t>
            </w:r>
          </w:p>
        </w:tc>
      </w:tr>
      <w:tr>
        <w:tc>
          <w:tcPr>
            <w:tcW w:w="0" w:type="auto"/>
          </w:tcPr>
          <w:p w:rsidR="551A4624" w:rsidRDefault="551A4624" w:rsidP="551A4624" w14:paraId="36493A04" w14:textId="43FA3D32">
            <w:r w:rsidR="551A4624">
              <w:rPr>
                <w:sz w:val="18"/>
                <w:szCs w:val="18"/>
              </w:rPr>
              <w:t xml:space="preserve">CoworkPowers-TechDD</w:t>
            </w:r>
          </w:p>
        </w:tc>
        <w:tc>
          <w:tcPr>
            <w:tcW w:w="0" w:type="auto"/>
          </w:tcPr>
          <w:p w:rsidR="551A4624" w:rsidRDefault="551A4624" w:rsidP="551A4624" w14:paraId="059B2B6E" w14:textId="6E2533A9">
            <w:r w:rsidR="551A4624">
              <w:rPr>
                <w:sz w:val="18"/>
                <w:szCs w:val="18"/>
              </w:rPr>
              <w:t xml:space="preserve">Technology Due Diligence</w:t>
            </w:r>
          </w:p>
        </w:tc>
        <w:tc>
          <w:tcPr>
            <w:tcW w:w="0" w:type="auto"/>
          </w:tcPr>
          <w:p w:rsidR="551A4624" w:rsidRDefault="551A4624" w:rsidP="551A4624" w14:paraId="56C960AA" w14:textId="50AF4BAA">
            <w:r w:rsidR="551A4624">
              <w:rPr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w="0" w:type="auto"/>
          </w:tcPr>
          <w:p w:rsidR="551A4624" w:rsidRDefault="551A4624" w:rsidP="551A4624" w14:paraId="78ACAD9B" w14:textId="38F2897F">
            <w:r w:rsidR="551A4624">
              <w:rPr>
                <w:sz w:val="18"/>
                <w:szCs w:val="18"/>
              </w:rPr>
              <w:t xml:space="preserve">CoworkPowers-Academic</w:t>
            </w:r>
          </w:p>
        </w:tc>
        <w:tc>
          <w:tcPr>
            <w:tcW w:w="0" w:type="auto"/>
          </w:tcPr>
          <w:p w:rsidR="551A4624" w:rsidRDefault="551A4624" w:rsidP="551A4624" w14:paraId="490C256A" w14:textId="4E4A4A05">
            <w:r w:rsidR="551A4624">
              <w:rPr>
                <w:sz w:val="18"/>
                <w:szCs w:val="18"/>
              </w:rPr>
              <w:t xml:space="preserve">Academic Research</w:t>
            </w:r>
          </w:p>
        </w:tc>
        <w:tc>
          <w:tcPr>
            <w:tcW w:w="0" w:type="auto"/>
          </w:tcPr>
          <w:p w:rsidR="551A4624" w:rsidRDefault="551A4624" w:rsidP="551A4624" w14:paraId="5A604717" w14:textId="2760ECF7">
            <w:r w:rsidR="551A4624">
              <w:rPr>
                <w:sz w:val="18"/>
                <w:szCs w:val="18"/>
              </w:rPr>
              <w:t xml:space="preserve">Planned</w:t>
            </w:r>
          </w:p>
        </w:tc>
      </w:tr>
    </w:tbl>
    <w:p w:rsidR="551A4624" w:rsidRDefault="551A4624" w:rsidP="551A4624" w14:paraId="00801B80" w14:textId="6C7E3157">
      <w:pPr>
        <w:spacing w:after="120" w:before="60"/>
      </w:pPr>
      <w:r w:rsidR="551A4624">
        <w:t xml:space="preserve"/>
      </w:r>
    </w:p>
    <w:p w:rsidR="551A4624" w:rsidRDefault="551A4624" w:rsidP="551A4624" w14:paraId="7B4C6FCE" w14:textId="72976DF1">
      <w:pPr>
        <w:pStyle w:val="Heading2"/>
      </w:pPr>
      <w:r w:rsidR="551A4624">
        <w:t>8.4 Creating a New Domain Plugin</w:t>
      </w:r>
    </w:p>
    <w:p w:rsidR="551A4624" w:rsidRDefault="551A4624" w:rsidP="551A4624" w14:paraId="6DBEA724" w14:textId="1A1BE696">
      <w:pPr>
        <w:spacing w:after="120" w:before="60"/>
      </w:pPr>
      <w:r w:rsidR="551A4624">
        <w:t xml:space="preserve">To create a new domain plugin, fork the existing plugin structure and swap domain-specific content:</w:t>
      </w:r>
    </w:p>
    <w:p w:rsidR="551A4624" w:rsidRDefault="551A4624" w:rsidP="551A4624" w14:paraId="0DBC7389" w14:textId="363BE4ED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Copy the plugin directory structure</w:t>
      </w:r>
    </w:p>
    <w:p w:rsidR="551A4624" w:rsidRDefault="551A4624" w:rsidP="551A4624" w14:paraId="64E7EE38" w14:textId="70AD7AF1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Update plugin.json with new name, description, and keywords</w:t>
      </w:r>
    </w:p>
    <w:p w:rsidR="551A4624" w:rsidRDefault="551A4624" w:rsidP="551A4624" w14:paraId="3CD6D49A" w14:textId="1CEC5B53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Rewrite research agent prompts for the new domain</w:t>
      </w:r>
    </w:p>
    <w:p w:rsidR="551A4624" w:rsidRDefault="551A4624" w:rsidP="551A4624" w14:paraId="103D501A" w14:textId="48904B5F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Rewrite work agent prompts for the new deliverable types</w:t>
      </w:r>
    </w:p>
    <w:p w:rsidR="551A4624" w:rsidRDefault="551A4624" w:rsidP="551A4624" w14:paraId="0088C713" w14:textId="3892EA31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Add domain-specific review agents (keep core reviewers)</w:t>
      </w:r>
    </w:p>
    <w:p w:rsidR="551A4624" w:rsidRDefault="551A4624" w:rsidP="551A4624" w14:paraId="18003A29" w14:textId="6F863214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Create new standards file with domain quality requirements</w:t>
      </w:r>
    </w:p>
    <w:p w:rsidR="551A4624" w:rsidRDefault="551A4624" w:rsidP="551A4624" w14:paraId="67F964BC" w14:textId="4E2BEF5E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Update CONNECTORS.md with relevant MCP tools</w:t>
      </w:r>
    </w:p>
    <w:p w:rsidR="551A4624" w:rsidRDefault="551A4624" w:rsidP="551A4624" w14:paraId="21B540D6" w14:textId="2EE61419">
      <w:pPr>
        <w:pStyle w:val="ListParagraph"/>
        <w:numPr>
          <w:ilvl w:val="0"/>
          <w:numId w:val="1"/>
        </w:numPr>
        <w:spacing w:after="60" w:before="60"/>
      </w:pPr>
      <w:r w:rsidR="551A4624">
        <w:t xml:space="preserve">Update skill SKILL.md files with new agent roster tables and work type classifications</w:t>
      </w:r>
    </w:p>
    <w:p w:rsidR="551A4624" w:rsidRDefault="551A4624" w:rsidP="551A4624" w14:paraId="304837CB" w14:textId="49E8B214">
      <w:r w:rsidR="551A4624">
        <w:br w:type="page"/>
      </w:r>
    </w:p>
    <w:p w:rsidR="551A4624" w:rsidRDefault="551A4624" w:rsidP="551A4624" w14:paraId="7788630A" w14:textId="524F4F58">
      <w:pPr>
        <w:pStyle w:val="Heading1"/>
      </w:pPr>
      <w:r w:rsidR="551A4624">
        <w:t>9. CoworkPowers-MedAffairs: Medical Affairs &amp; HEOR</w:t>
      </w:r>
    </w:p>
    <w:p w:rsidR="551A4624" w:rsidRDefault="551A4624" w:rsidP="551A4624" w14:paraId="66E4BB26" w14:textId="3F061771">
      <w:pPr>
        <w:spacing w:after="120" w:before="60"/>
      </w:pPr>
      <w:r w:rsidR="551A4624">
        <w:rPr>
          <w:b/>
          <w:bCs/>
        </w:rPr>
        <w:t xml:space="preserve">CoworkPowers-MedAffairs</w:t>
      </w:r>
      <w:r w:rsidR="551A4624">
        <w:t xml:space="preserve"> is a domain-specific plugin for Medical Affairs and Health Economics &amp; Outcomes Research (HEOR). It uses the same 4-phase compound loop but with agents, standards, and MCP tools optimized for evidence dissemination, publication planning, value communication, and payer strategy.</w:t>
      </w:r>
    </w:p>
    <w:p w:rsidR="551A4624" w:rsidRDefault="551A4624" w:rsidP="551A4624" w14:paraId="5B28E789" w14:textId="0551DCCA">
      <w:pPr>
        <w:pStyle w:val="Heading2"/>
      </w:pPr>
      <w:r w:rsidR="551A4624">
        <w:t>9.1 Domain Focus</w:t>
      </w:r>
    </w:p>
    <w:p w:rsidR="551A4624" w:rsidRDefault="551A4624" w:rsidP="551A4624" w14:paraId="0D5B2358" w14:textId="1AF332A8">
      <w:pPr>
        <w:pStyle w:val="ListParagraph"/>
        <w:numPr>
          <w:ilvl w:val="0"/>
          <w:numId w:val="1"/>
        </w:numPr>
        <w:spacing w:after="60" w:before="60"/>
      </w:pPr>
      <w:r w:rsidR="551A4624">
        <w:rPr>
          <w:b/>
          <w:bCs/>
        </w:rPr>
        <w:t xml:space="preserve">Publication Planning: </w:t>
      </w:r>
      <w:r w:rsidR="551A4624">
        <w:t xml:space="preserve">Publication planning, manuscript development, journal selection, author engagement</w:t>
      </w:r>
    </w:p>
    <w:p w:rsidR="551A4624" w:rsidRDefault="551A4624" w:rsidP="551A4624" w14:paraId="1CBB026F" w14:textId="2A493A31">
      <w:pPr>
        <w:pStyle w:val="ListParagraph"/>
        <w:numPr>
          <w:ilvl w:val="0"/>
          <w:numId w:val="1"/>
        </w:numPr>
        <w:spacing w:after="60" w:before="60"/>
      </w:pPr>
      <w:r w:rsidR="551A4624">
        <w:rPr>
          <w:b/>
          <w:bCs/>
        </w:rPr>
        <w:t xml:space="preserve">Evidence Synthesis: </w:t>
      </w:r>
      <w:r w:rsidR="551A4624">
        <w:t xml:space="preserve">Systematic reviews, targeted literature reviews, evidence gap analyses</w:t>
      </w:r>
    </w:p>
    <w:p w:rsidR="551A4624" w:rsidRDefault="551A4624" w:rsidP="551A4624" w14:paraId="4A21B28F" w14:textId="0BD8C97B">
      <w:pPr>
        <w:pStyle w:val="ListParagraph"/>
        <w:numPr>
          <w:ilvl w:val="0"/>
          <w:numId w:val="1"/>
        </w:numPr>
        <w:spacing w:after="60" w:before="60"/>
      </w:pPr>
      <w:r w:rsidR="551A4624">
        <w:rPr>
          <w:b/>
          <w:bCs/>
        </w:rPr>
        <w:t xml:space="preserve">Value Communication: </w:t>
      </w:r>
      <w:r w:rsidR="551A4624">
        <w:t xml:space="preserve">AMCP dossiers, global value dossiers, value stories, payer toolkits</w:t>
      </w:r>
    </w:p>
    <w:p w:rsidR="551A4624" w:rsidRDefault="551A4624" w:rsidP="551A4624" w14:paraId="2ABE9CCA" w14:textId="014F51E6">
      <w:pPr>
        <w:pStyle w:val="ListParagraph"/>
        <w:numPr>
          <w:ilvl w:val="0"/>
          <w:numId w:val="1"/>
        </w:numPr>
        <w:spacing w:after="60" w:before="60"/>
      </w:pPr>
      <w:r w:rsidR="551A4624">
        <w:rPr>
          <w:b/>
          <w:bCs/>
        </w:rPr>
        <w:t xml:space="preserve">Payer Strategy: </w:t>
      </w:r>
      <w:r w:rsidR="551A4624">
        <w:t xml:space="preserve">HTA submissions, cost-effectiveness analyses, budget impact models</w:t>
      </w:r>
    </w:p>
    <w:p w:rsidR="551A4624" w:rsidRDefault="551A4624" w:rsidP="551A4624" w14:paraId="521535FB" w14:textId="2738D14C">
      <w:pPr>
        <w:pStyle w:val="ListParagraph"/>
        <w:numPr>
          <w:ilvl w:val="0"/>
          <w:numId w:val="1"/>
        </w:numPr>
        <w:spacing w:after="60" w:before="60"/>
      </w:pPr>
      <w:r w:rsidR="551A4624">
        <w:rPr>
          <w:b/>
          <w:bCs/>
        </w:rPr>
        <w:t xml:space="preserve">Medical Education: </w:t>
      </w:r>
      <w:r w:rsidR="551A4624">
        <w:t xml:space="preserve">Advisory boards, CME programs, MSL training materials</w:t>
      </w:r>
    </w:p>
    <w:p w:rsidR="551A4624" w:rsidRDefault="551A4624" w:rsidP="551A4624" w14:paraId="7E9E3D7D" w14:textId="1A5048DC">
      <w:pPr>
        <w:pStyle w:val="ListParagraph"/>
        <w:numPr>
          <w:ilvl w:val="0"/>
          <w:numId w:val="1"/>
        </w:numPr>
        <w:spacing w:after="60" w:before="60"/>
      </w:pPr>
      <w:r w:rsidR="551A4624">
        <w:rPr>
          <w:b/>
          <w:bCs/>
        </w:rPr>
        <w:t xml:space="preserve">Congress Strategy: </w:t>
      </w:r>
      <w:r w:rsidR="551A4624">
        <w:t xml:space="preserve">Abstract development, poster/presentation planning, congress engagement</w:t>
      </w:r>
    </w:p>
    <w:p w:rsidR="551A4624" w:rsidRDefault="551A4624" w:rsidP="551A4624" w14:paraId="68F49421" w14:textId="79009DD9">
      <w:pPr>
        <w:pStyle w:val="ListParagraph"/>
        <w:numPr>
          <w:ilvl w:val="0"/>
          <w:numId w:val="1"/>
        </w:numPr>
        <w:spacing w:after="60" w:before="60"/>
      </w:pPr>
      <w:r w:rsidR="551A4624">
        <w:rPr>
          <w:b/>
          <w:bCs/>
        </w:rPr>
        <w:t xml:space="preserve">KOL Engagement: </w:t>
      </w:r>
      <w:r w:rsidR="551A4624">
        <w:t xml:space="preserve">KOL identification and profiling, advisory board design</w:t>
      </w:r>
    </w:p>
    <w:p w:rsidR="551A4624" w:rsidRDefault="551A4624" w:rsidP="551A4624" w14:paraId="08772A97" w14:textId="63CEB9FF">
      <w:pPr>
        <w:pStyle w:val="ListParagraph"/>
        <w:numPr>
          <w:ilvl w:val="0"/>
          <w:numId w:val="1"/>
        </w:numPr>
        <w:spacing w:after="60" w:before="60"/>
      </w:pPr>
      <w:r w:rsidR="551A4624">
        <w:rPr>
          <w:b/>
          <w:bCs/>
        </w:rPr>
        <w:t xml:space="preserve">HEOR Analysis: </w:t>
      </w:r>
      <w:r w:rsidR="551A4624">
        <w:t xml:space="preserve">Economic modeling, outcomes research, PRO strategy, RWE study design</w:t>
      </w:r>
    </w:p>
    <w:p w:rsidR="551A4624" w:rsidRDefault="551A4624" w:rsidP="551A4624" w14:paraId="398E6967" w14:textId="596F8224">
      <w:pPr>
        <w:pStyle w:val="Heading2"/>
      </w:pPr>
      <w:r w:rsidR="551A4624">
        <w:t>9.2 The Compound Loop</w:t>
      </w:r>
    </w:p>
    <w:tbl>
      <w:tblPr>
        <w:tblStyle w:val="TableGrid"/>
        <w:tblW w:w="0" w:type="auto"/>
      </w:tblPr>
      <w:tblGrid>
        <w:gridCol w:w="3116"/>
        <w:gridCol w:w="3116"/>
        <w:gridCol w:w="3116"/>
      </w:tblGrid>
      <w:tr>
        <w:tc>
          <w:tcPr>
            <w:tcW w:w="0" w:type="auto"/>
            <w:shd w:fill="1B2A4A" w:val="clear"/>
          </w:tcPr>
          <w:p w:rsidR="551A4624" w:rsidRDefault="551A4624" w:rsidP="551A4624" w14:paraId="40582C3B" w14:textId="389BA6D8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Phase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4F845C00" w14:textId="11D07F13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Skill Command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72DAC9F5" w14:textId="39D8BF10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What It Does</w:t>
            </w:r>
          </w:p>
        </w:tc>
      </w:tr>
      <w:tr>
        <w:tc>
          <w:tcPr>
            <w:tcW w:w="0" w:type="auto"/>
          </w:tcPr>
          <w:p w:rsidR="551A4624" w:rsidRDefault="551A4624" w:rsidP="551A4624" w14:paraId="1D9B79B4" w14:textId="26D71F20">
            <w:r w:rsidR="551A4624">
              <w:rPr>
                <w:sz w:val="18"/>
                <w:szCs w:val="18"/>
              </w:rPr>
              <w:t xml:space="preserve">1. Research</w:t>
            </w:r>
          </w:p>
        </w:tc>
        <w:tc>
          <w:tcPr>
            <w:tcW w:w="0" w:type="auto"/>
          </w:tcPr>
          <w:p w:rsidR="551A4624" w:rsidRDefault="551A4624" w:rsidP="551A4624" w14:paraId="220A34DF" w14:textId="7A1273A2">
            <w:r w:rsidR="551A4624">
              <w:rPr>
                <w:sz w:val="18"/>
                <w:szCs w:val="18"/>
              </w:rPr>
              <w:t xml:space="preserve">/coworkpowers-medaffairs:workflow-research</w:t>
            </w:r>
          </w:p>
        </w:tc>
        <w:tc>
          <w:tcPr>
            <w:tcW w:w="0" w:type="auto"/>
          </w:tcPr>
          <w:p w:rsidR="551A4624" w:rsidRDefault="551A4624" w:rsidP="551A4624" w14:paraId="57A0B108" w14:textId="03AF3151">
            <w:r w:rsidR="551A4624">
              <w:rPr>
                <w:sz w:val="18"/>
                <w:szCs w:val="18"/>
              </w:rPr>
              <w:t xml:space="preserve">Classify task, gather evidence, synthesize into plan</w:t>
            </w:r>
          </w:p>
        </w:tc>
      </w:tr>
      <w:tr>
        <w:tc>
          <w:tcPr>
            <w:tcW w:w="0" w:type="auto"/>
          </w:tcPr>
          <w:p w:rsidR="551A4624" w:rsidRDefault="551A4624" w:rsidP="551A4624" w14:paraId="14C3C73F" w14:textId="29113AC1">
            <w:r w:rsidR="551A4624">
              <w:rPr>
                <w:sz w:val="18"/>
                <w:szCs w:val="18"/>
              </w:rPr>
              <w:t xml:space="preserve">2. Work</w:t>
            </w:r>
          </w:p>
        </w:tc>
        <w:tc>
          <w:tcPr>
            <w:tcW w:w="0" w:type="auto"/>
          </w:tcPr>
          <w:p w:rsidR="551A4624" w:rsidRDefault="551A4624" w:rsidP="551A4624" w14:paraId="20870574" w14:textId="3C2CC0FA">
            <w:r w:rsidR="551A4624">
              <w:rPr>
                <w:sz w:val="18"/>
                <w:szCs w:val="18"/>
              </w:rPr>
              <w:t xml:space="preserve">/coworkpowers-medaffairs:workflow-work</w:t>
            </w:r>
          </w:p>
        </w:tc>
        <w:tc>
          <w:tcPr>
            <w:tcW w:w="0" w:type="auto"/>
          </w:tcPr>
          <w:p w:rsidR="551A4624" w:rsidRDefault="551A4624" w:rsidP="551A4624" w14:paraId="55CBA5F8" w14:textId="5B546F1A">
            <w:r w:rsidR="551A4624">
              <w:rPr>
                <w:sz w:val="18"/>
                <w:szCs w:val="18"/>
              </w:rPr>
              <w:t xml:space="preserve">Execute plan with specialized Medical Affairs agents</w:t>
            </w:r>
          </w:p>
        </w:tc>
      </w:tr>
      <w:tr>
        <w:tc>
          <w:tcPr>
            <w:tcW w:w="0" w:type="auto"/>
          </w:tcPr>
          <w:p w:rsidR="551A4624" w:rsidRDefault="551A4624" w:rsidP="551A4624" w14:paraId="2D5279B9" w14:textId="5E118513">
            <w:r w:rsidR="551A4624">
              <w:rPr>
                <w:sz w:val="18"/>
                <w:szCs w:val="18"/>
              </w:rPr>
              <w:t xml:space="preserve">3. Review</w:t>
            </w:r>
          </w:p>
        </w:tc>
        <w:tc>
          <w:tcPr>
            <w:tcW w:w="0" w:type="auto"/>
          </w:tcPr>
          <w:p w:rsidR="551A4624" w:rsidRDefault="551A4624" w:rsidP="551A4624" w14:paraId="20AF1050" w14:textId="2BB3D4D1">
            <w:r w:rsidR="551A4624">
              <w:rPr>
                <w:sz w:val="18"/>
                <w:szCs w:val="18"/>
              </w:rPr>
              <w:t xml:space="preserve">/coworkpowers-medaffairs:workflow-review</w:t>
            </w:r>
          </w:p>
        </w:tc>
        <w:tc>
          <w:tcPr>
            <w:tcW w:w="0" w:type="auto"/>
          </w:tcPr>
          <w:p w:rsidR="551A4624" w:rsidRDefault="551A4624" w:rsidP="551A4624" w14:paraId="1F938FAB" w14:textId="6C0706C1">
            <w:r w:rsidR="551A4624">
              <w:rPr>
                <w:sz w:val="18"/>
                <w:szCs w:val="18"/>
              </w:rPr>
              <w:t xml:space="preserve">Multi-perspective quality review with compliance checks</w:t>
            </w:r>
          </w:p>
        </w:tc>
      </w:tr>
      <w:tr>
        <w:tc>
          <w:tcPr>
            <w:tcW w:w="0" w:type="auto"/>
          </w:tcPr>
          <w:p w:rsidR="551A4624" w:rsidRDefault="551A4624" w:rsidP="551A4624" w14:paraId="0F52B0A6" w14:textId="423AB308">
            <w:r w:rsidR="551A4624">
              <w:rPr>
                <w:sz w:val="18"/>
                <w:szCs w:val="18"/>
              </w:rPr>
              <w:t xml:space="preserve">4. Compound</w:t>
            </w:r>
          </w:p>
        </w:tc>
        <w:tc>
          <w:tcPr>
            <w:tcW w:w="0" w:type="auto"/>
          </w:tcPr>
          <w:p w:rsidR="551A4624" w:rsidRDefault="551A4624" w:rsidP="551A4624" w14:paraId="03D3ED2D" w14:textId="28541402">
            <w:r w:rsidR="551A4624">
              <w:rPr>
                <w:sz w:val="18"/>
                <w:szCs w:val="18"/>
              </w:rPr>
              <w:t xml:space="preserve">/coworkpowers-medaffairs:workflow-compound</w:t>
            </w:r>
          </w:p>
        </w:tc>
        <w:tc>
          <w:tcPr>
            <w:tcW w:w="0" w:type="auto"/>
          </w:tcPr>
          <w:p w:rsidR="551A4624" w:rsidRDefault="551A4624" w:rsidP="551A4624" w14:paraId="097EF396" w14:textId="38E9A390">
            <w:r w:rsidR="551A4624">
              <w:rPr>
                <w:sz w:val="18"/>
                <w:szCs w:val="18"/>
              </w:rPr>
              <w:t xml:space="preserve">Extract patterns, templates, preferences, insights</w:t>
            </w:r>
          </w:p>
        </w:tc>
      </w:tr>
    </w:tbl>
    <w:p w:rsidR="551A4624" w:rsidRDefault="551A4624" w:rsidP="551A4624" w14:paraId="0A493216" w14:textId="7B331EDD">
      <w:pPr>
        <w:spacing w:after="120" w:before="60"/>
      </w:pPr>
      <w:r w:rsidR="551A4624">
        <w:t xml:space="preserve"/>
      </w:r>
    </w:p>
    <w:p w:rsidR="551A4624" w:rsidRDefault="551A4624" w:rsidP="551A4624" w14:paraId="5FA969A7" w14:textId="5B69A154">
      <w:pPr>
        <w:pStyle w:val="Heading2"/>
      </w:pPr>
      <w:r w:rsidR="551A4624">
        <w:t>9.3 Research Agents (9)</w:t>
      </w:r>
    </w:p>
    <w:tbl>
      <w:tblPr>
        <w:tblStyle w:val="TableGrid"/>
        <w:tblW w:w="0" w:type="auto"/>
      </w:tblPr>
      <w:tblGrid>
        <w:gridCol w:w="3116"/>
        <w:gridCol w:w="3116"/>
        <w:gridCol w:w="3116"/>
      </w:tblGrid>
      <w:tr>
        <w:tc>
          <w:tcPr>
            <w:tcW w:w="0" w:type="auto"/>
            <w:shd w:fill="1B2A4A" w:val="clear"/>
          </w:tcPr>
          <w:p w:rsidR="551A4624" w:rsidRDefault="551A4624" w:rsidP="551A4624" w14:paraId="1959A5F0" w14:textId="0A3D3F0B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Agent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5DB99529" w14:textId="06F3F065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Role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7A529DF2" w14:textId="1DF1D1D3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Key MCP Tools</w:t>
            </w:r>
          </w:p>
        </w:tc>
      </w:tr>
      <w:tr>
        <w:tc>
          <w:tcPr>
            <w:tcW w:w="0" w:type="auto"/>
          </w:tcPr>
          <w:p w:rsidR="551A4624" w:rsidRDefault="551A4624" w:rsidP="551A4624" w14:paraId="350EECBA" w14:textId="75E57C5D">
            <w:r w:rsidR="551A4624">
              <w:rPr>
                <w:sz w:val="18"/>
                <w:szCs w:val="18"/>
              </w:rPr>
              <w:t xml:space="preserve">evidence-synthesizer</w:t>
            </w:r>
          </w:p>
        </w:tc>
        <w:tc>
          <w:tcPr>
            <w:tcW w:w="0" w:type="auto"/>
          </w:tcPr>
          <w:p w:rsidR="551A4624" w:rsidRDefault="551A4624" w:rsidP="551A4624" w14:paraId="25DB1AAC" w14:textId="2EFD571E">
            <w:r w:rsidR="551A4624">
              <w:rPr>
                <w:sz w:val="18"/>
                <w:szCs w:val="18"/>
              </w:rPr>
              <w:t xml:space="preserve">Search, grade, and synthesize clinical evidence</w:t>
            </w:r>
          </w:p>
        </w:tc>
        <w:tc>
          <w:tcPr>
            <w:tcW w:w="0" w:type="auto"/>
          </w:tcPr>
          <w:p w:rsidR="551A4624" w:rsidRDefault="551A4624" w:rsidP="551A4624" w14:paraId="134BC5A2" w14:textId="2CAFAA4C">
            <w:r w:rsidR="551A4624">
              <w:rPr>
                <w:sz w:val="18"/>
                <w:szCs w:val="18"/>
              </w:rPr>
              <w:t xml:space="preserve">PubMed, bioRxiv, ClinicalTrials.gov</w:t>
            </w:r>
          </w:p>
        </w:tc>
      </w:tr>
      <w:tr>
        <w:tc>
          <w:tcPr>
            <w:tcW w:w="0" w:type="auto"/>
          </w:tcPr>
          <w:p w:rsidR="551A4624" w:rsidRDefault="551A4624" w:rsidP="551A4624" w14:paraId="2ED75008" w14:textId="2B2F203A">
            <w:r w:rsidR="551A4624">
              <w:rPr>
                <w:sz w:val="18"/>
                <w:szCs w:val="18"/>
              </w:rPr>
              <w:t xml:space="preserve">publication-landscape-scout</w:t>
            </w:r>
          </w:p>
        </w:tc>
        <w:tc>
          <w:tcPr>
            <w:tcW w:w="0" w:type="auto"/>
          </w:tcPr>
          <w:p w:rsidR="551A4624" w:rsidRDefault="551A4624" w:rsidP="551A4624" w14:paraId="2FC84399" w14:textId="5E8E136B">
            <w:r w:rsidR="551A4624">
              <w:rPr>
                <w:sz w:val="18"/>
                <w:szCs w:val="18"/>
              </w:rPr>
              <w:t xml:space="preserve">Map publications, gaps, key authors, journal strategies</w:t>
            </w:r>
          </w:p>
        </w:tc>
        <w:tc>
          <w:tcPr>
            <w:tcW w:w="0" w:type="auto"/>
          </w:tcPr>
          <w:p w:rsidR="551A4624" w:rsidRDefault="551A4624" w:rsidP="551A4624" w14:paraId="3A3BCE8C" w14:textId="2AC83EB3">
            <w:r w:rsidR="551A4624">
              <w:rPr>
                <w:sz w:val="18"/>
                <w:szCs w:val="18"/>
              </w:rPr>
              <w:t xml:space="preserve">PubMed, bioRxiv</w:t>
            </w:r>
          </w:p>
        </w:tc>
      </w:tr>
      <w:tr>
        <w:tc>
          <w:tcPr>
            <w:tcW w:w="0" w:type="auto"/>
          </w:tcPr>
          <w:p w:rsidR="551A4624" w:rsidRDefault="551A4624" w:rsidP="551A4624" w14:paraId="6FB93F33" w14:textId="2CBA6613">
            <w:r w:rsidR="551A4624">
              <w:rPr>
                <w:sz w:val="18"/>
                <w:szCs w:val="18"/>
              </w:rPr>
              <w:t xml:space="preserve">competitor-evidence-tracker</w:t>
            </w:r>
          </w:p>
        </w:tc>
        <w:tc>
          <w:tcPr>
            <w:tcW w:w="0" w:type="auto"/>
          </w:tcPr>
          <w:p w:rsidR="551A4624" w:rsidRDefault="551A4624" w:rsidP="551A4624" w14:paraId="4470C2C5" w14:textId="6DA7378C">
            <w:r w:rsidR="551A4624">
              <w:rPr>
                <w:sz w:val="18"/>
                <w:szCs w:val="18"/>
              </w:rPr>
              <w:t xml:space="preserve">Track competitor evidence and differentiation opportunities</w:t>
            </w:r>
          </w:p>
        </w:tc>
        <w:tc>
          <w:tcPr>
            <w:tcW w:w="0" w:type="auto"/>
          </w:tcPr>
          <w:p w:rsidR="551A4624" w:rsidRDefault="551A4624" w:rsidP="551A4624" w14:paraId="693F2774" w14:textId="7F946D67">
            <w:r w:rsidR="551A4624">
              <w:rPr>
                <w:sz w:val="18"/>
                <w:szCs w:val="18"/>
              </w:rPr>
              <w:t xml:space="preserve">ClinicalTrials.gov, ChEMBL, PubMed</w:t>
            </w:r>
          </w:p>
        </w:tc>
      </w:tr>
      <w:tr>
        <w:tc>
          <w:tcPr>
            <w:tcW w:w="0" w:type="auto"/>
          </w:tcPr>
          <w:p w:rsidR="551A4624" w:rsidRDefault="551A4624" w:rsidP="551A4624" w14:paraId="44BAE5A8" w14:textId="3EA027FD">
            <w:r w:rsidR="551A4624">
              <w:rPr>
                <w:sz w:val="18"/>
                <w:szCs w:val="18"/>
              </w:rPr>
              <w:t xml:space="preserve">KOL-mapper</w:t>
            </w:r>
          </w:p>
        </w:tc>
        <w:tc>
          <w:tcPr>
            <w:tcW w:w="0" w:type="auto"/>
          </w:tcPr>
          <w:p w:rsidR="551A4624" w:rsidRDefault="551A4624" w:rsidP="551A4624" w14:paraId="102BC273" w14:textId="23F8B07E">
            <w:r w:rsidR="551A4624">
              <w:rPr>
                <w:sz w:val="18"/>
                <w:szCs w:val="18"/>
              </w:rPr>
              <w:t xml:space="preserve">Identify and profile Key Opinion Leaders</w:t>
            </w:r>
          </w:p>
        </w:tc>
        <w:tc>
          <w:tcPr>
            <w:tcW w:w="0" w:type="auto"/>
          </w:tcPr>
          <w:p w:rsidR="551A4624" w:rsidRDefault="551A4624" w:rsidP="551A4624" w14:paraId="2279202F" w14:textId="58332C80">
            <w:r w:rsidR="551A4624">
              <w:rPr>
                <w:sz w:val="18"/>
                <w:szCs w:val="18"/>
              </w:rPr>
              <w:t xml:space="preserve">PubMed, ClinicalTrials.gov</w:t>
            </w:r>
          </w:p>
        </w:tc>
      </w:tr>
      <w:tr>
        <w:tc>
          <w:tcPr>
            <w:tcW w:w="0" w:type="auto"/>
          </w:tcPr>
          <w:p w:rsidR="551A4624" w:rsidRDefault="551A4624" w:rsidP="551A4624" w14:paraId="7D0E55A8" w14:textId="47826DA9">
            <w:r w:rsidR="551A4624">
              <w:rPr>
                <w:sz w:val="18"/>
                <w:szCs w:val="18"/>
              </w:rPr>
              <w:t xml:space="preserve">payer-landscape-analyst</w:t>
            </w:r>
          </w:p>
        </w:tc>
        <w:tc>
          <w:tcPr>
            <w:tcW w:w="0" w:type="auto"/>
          </w:tcPr>
          <w:p w:rsidR="551A4624" w:rsidRDefault="551A4624" w:rsidP="551A4624" w14:paraId="05240759" w14:textId="4675DA29">
            <w:r w:rsidR="551A4624">
              <w:rPr>
                <w:sz w:val="18"/>
                <w:szCs w:val="18"/>
              </w:rPr>
              <w:t xml:space="preserve">Map HTA requirements, pricing, evidence gaps</w:t>
            </w:r>
          </w:p>
        </w:tc>
        <w:tc>
          <w:tcPr>
            <w:tcW w:w="0" w:type="auto"/>
          </w:tcPr>
          <w:p w:rsidR="551A4624" w:rsidRDefault="551A4624" w:rsidP="551A4624" w14:paraId="77BA9008" w14:textId="40E47818">
            <w:r w:rsidR="551A4624">
              <w:rPr>
                <w:sz w:val="18"/>
                <w:szCs w:val="18"/>
              </w:rPr>
              <w:t xml:space="preserve">PubMed, ChEMBL, Web search</w:t>
            </w:r>
          </w:p>
        </w:tc>
      </w:tr>
      <w:tr>
        <w:tc>
          <w:tcPr>
            <w:tcW w:w="0" w:type="auto"/>
          </w:tcPr>
          <w:p w:rsidR="551A4624" w:rsidRDefault="551A4624" w:rsidP="551A4624" w14:paraId="044E9F2C" w14:textId="63A3BE46">
            <w:r w:rsidR="551A4624">
              <w:rPr>
                <w:sz w:val="18"/>
                <w:szCs w:val="18"/>
              </w:rPr>
              <w:t xml:space="preserve">guideline-scanner</w:t>
            </w:r>
          </w:p>
        </w:tc>
        <w:tc>
          <w:tcPr>
            <w:tcW w:w="0" w:type="auto"/>
          </w:tcPr>
          <w:p w:rsidR="551A4624" w:rsidRDefault="551A4624" w:rsidP="551A4624" w14:paraId="30E7A5EA" w14:textId="02A3DA5D">
            <w:r w:rsidR="551A4624">
              <w:rPr>
                <w:sz w:val="18"/>
                <w:szCs w:val="18"/>
              </w:rPr>
              <w:t xml:space="preserve">Identify treatment guidelines and reporting standards</w:t>
            </w:r>
          </w:p>
        </w:tc>
        <w:tc>
          <w:tcPr>
            <w:tcW w:w="0" w:type="auto"/>
          </w:tcPr>
          <w:p w:rsidR="551A4624" w:rsidRDefault="551A4624" w:rsidP="551A4624" w14:paraId="73E592FD" w14:textId="7A7FA5E0">
            <w:r w:rsidR="551A4624">
              <w:rPr>
                <w:sz w:val="18"/>
                <w:szCs w:val="18"/>
              </w:rPr>
              <w:t xml:space="preserve">PubMed, Web search</w:t>
            </w:r>
          </w:p>
        </w:tc>
      </w:tr>
      <w:tr>
        <w:tc>
          <w:tcPr>
            <w:tcW w:w="0" w:type="auto"/>
          </w:tcPr>
          <w:p w:rsidR="551A4624" w:rsidRDefault="551A4624" w:rsidP="551A4624" w14:paraId="15D78EF4" w14:textId="47459FFD">
            <w:r w:rsidR="551A4624">
              <w:rPr>
                <w:sz w:val="18"/>
                <w:szCs w:val="18"/>
              </w:rPr>
              <w:t xml:space="preserve">constraint-analyzer</w:t>
            </w:r>
          </w:p>
        </w:tc>
        <w:tc>
          <w:tcPr>
            <w:tcW w:w="0" w:type="auto"/>
          </w:tcPr>
          <w:p w:rsidR="551A4624" w:rsidRDefault="551A4624" w:rsidP="551A4624" w14:paraId="1CB19949" w14:textId="7D3A32A9">
            <w:r w:rsidR="551A4624">
              <w:rPr>
                <w:sz w:val="18"/>
                <w:szCs w:val="18"/>
              </w:rPr>
              <w:t xml:space="preserve">Assess data availability, timelines, compliance, budget</w:t>
            </w:r>
          </w:p>
        </w:tc>
        <w:tc>
          <w:tcPr>
            <w:tcW w:w="0" w:type="auto"/>
          </w:tcPr>
          <w:p w:rsidR="551A4624" w:rsidRDefault="551A4624" w:rsidP="551A4624" w14:paraId="5AE263FA" w14:textId="245DB807">
            <w:r w:rsidR="551A4624">
              <w:rPr>
                <w:sz w:val="18"/>
                <w:szCs w:val="18"/>
              </w:rPr>
              <w:t xml:space="preserve">Web search</w:t>
            </w:r>
          </w:p>
        </w:tc>
      </w:tr>
      <w:tr>
        <w:tc>
          <w:tcPr>
            <w:tcW w:w="0" w:type="auto"/>
          </w:tcPr>
          <w:p w:rsidR="551A4624" w:rsidRDefault="551A4624" w:rsidP="551A4624" w14:paraId="02588B31" w14:textId="3D2B384B">
            <w:r w:rsidR="551A4624">
              <w:rPr>
                <w:sz w:val="18"/>
                <w:szCs w:val="18"/>
              </w:rPr>
              <w:t xml:space="preserve">precedent-researcher</w:t>
            </w:r>
          </w:p>
        </w:tc>
        <w:tc>
          <w:tcPr>
            <w:tcW w:w="0" w:type="auto"/>
          </w:tcPr>
          <w:p w:rsidR="551A4624" w:rsidRDefault="551A4624" w:rsidP="551A4624" w14:paraId="3C70961D" w14:textId="66DEFF1B">
            <w:r w:rsidR="551A4624">
              <w:rPr>
                <w:sz w:val="18"/>
                <w:szCs w:val="18"/>
              </w:rPr>
              <w:t xml:space="preserve">Past learnings + industry best practices (ISMPP, ISPOR)</w:t>
            </w:r>
          </w:p>
        </w:tc>
        <w:tc>
          <w:tcPr>
            <w:tcW w:w="0" w:type="auto"/>
          </w:tcPr>
          <w:p w:rsidR="551A4624" w:rsidRDefault="551A4624" w:rsidP="551A4624" w14:paraId="67F85C34" w14:textId="5175A4E5">
            <w:r w:rsidR="551A4624">
              <w:rPr>
                <w:sz w:val="18"/>
                <w:szCs w:val="18"/>
              </w:rPr>
              <w:t xml:space="preserve">File system, web search</w:t>
            </w:r>
          </w:p>
        </w:tc>
      </w:tr>
      <w:tr>
        <w:tc>
          <w:tcPr>
            <w:tcW w:w="0" w:type="auto"/>
          </w:tcPr>
          <w:p w:rsidR="551A4624" w:rsidRDefault="551A4624" w:rsidP="551A4624" w14:paraId="2B2316C7" w14:textId="797F97EC">
            <w:r w:rsidR="551A4624">
              <w:rPr>
                <w:sz w:val="18"/>
                <w:szCs w:val="18"/>
              </w:rPr>
              <w:t xml:space="preserve">plan-synthesizer</w:t>
            </w:r>
          </w:p>
        </w:tc>
        <w:tc>
          <w:tcPr>
            <w:tcW w:w="0" w:type="auto"/>
          </w:tcPr>
          <w:p w:rsidR="551A4624" w:rsidRDefault="551A4624" w:rsidP="551A4624" w14:paraId="2CEC5577" w14:textId="70DF9660">
            <w:r w:rsidR="551A4624">
              <w:rPr>
                <w:sz w:val="18"/>
                <w:szCs w:val="18"/>
              </w:rPr>
              <w:t xml:space="preserve">Merge all agent outputs into execution plan</w:t>
            </w:r>
          </w:p>
        </w:tc>
        <w:tc>
          <w:tcPr>
            <w:tcW w:w="0" w:type="auto"/>
          </w:tcPr>
          <w:p w:rsidR="551A4624" w:rsidRDefault="551A4624" w:rsidP="551A4624" w14:paraId="7B90A630" w14:textId="03D62A24">
            <w:r w:rsidR="551A4624">
              <w:rPr>
                <w:sz w:val="18"/>
                <w:szCs w:val="18"/>
              </w:rPr>
              <w:t xml:space="preserve">None (synthesis only)</w:t>
            </w:r>
          </w:p>
        </w:tc>
      </w:tr>
    </w:tbl>
    <w:p w:rsidR="551A4624" w:rsidRDefault="551A4624" w:rsidP="551A4624" w14:paraId="7715050C" w14:textId="711F8229">
      <w:pPr>
        <w:spacing w:after="120" w:before="60"/>
      </w:pPr>
      <w:r w:rsidR="551A4624">
        <w:t xml:space="preserve"/>
      </w:r>
    </w:p>
    <w:p w:rsidR="551A4624" w:rsidRDefault="551A4624" w:rsidP="551A4624" w14:paraId="6A4FEE3B" w14:textId="1681005F">
      <w:pPr>
        <w:pStyle w:val="Heading2"/>
      </w:pPr>
      <w:r w:rsidR="551A4624">
        <w:t>9.4 Work Agents (8)</w:t>
      </w:r>
    </w:p>
    <w:tbl>
      <w:tblPr>
        <w:tblStyle w:val="TableGrid"/>
        <w:tblW w:w="0" w:type="auto"/>
      </w:tblPr>
      <w:tblGrid>
        <w:gridCol w:w="3116"/>
        <w:gridCol w:w="3116"/>
        <w:gridCol w:w="3116"/>
      </w:tblGrid>
      <w:tr>
        <w:tc>
          <w:tcPr>
            <w:tcW w:w="0" w:type="auto"/>
            <w:shd w:fill="1B2A4A" w:val="clear"/>
          </w:tcPr>
          <w:p w:rsidR="551A4624" w:rsidRDefault="551A4624" w:rsidP="551A4624" w14:paraId="49C8E30F" w14:textId="1CC5B69A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Agent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7D133658" w14:textId="0A5A9B7A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Work Type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1A02F432" w14:textId="3B8F5946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When to Use</w:t>
            </w:r>
          </w:p>
        </w:tc>
      </w:tr>
      <w:tr>
        <w:tc>
          <w:tcPr>
            <w:tcW w:w="0" w:type="auto"/>
          </w:tcPr>
          <w:p w:rsidR="551A4624" w:rsidRDefault="551A4624" w:rsidP="551A4624" w14:paraId="37ACF7F3" w14:textId="0A9A94A7">
            <w:r w:rsidR="551A4624">
              <w:rPr>
                <w:sz w:val="18"/>
                <w:szCs w:val="18"/>
              </w:rPr>
              <w:t xml:space="preserve">medical-writer</w:t>
            </w:r>
          </w:p>
        </w:tc>
        <w:tc>
          <w:tcPr>
            <w:tcW w:w="0" w:type="auto"/>
          </w:tcPr>
          <w:p w:rsidR="551A4624" w:rsidRDefault="551A4624" w:rsidP="551A4624" w14:paraId="02D940AB" w14:textId="01AAF0A4">
            <w:r w:rsidR="551A4624">
              <w:rPr>
                <w:sz w:val="18"/>
                <w:szCs w:val="18"/>
              </w:rPr>
              <w:t xml:space="preserve">Manuscripts, SLRs, medical summaries, congress materials</w:t>
            </w:r>
          </w:p>
        </w:tc>
        <w:tc>
          <w:tcPr>
            <w:tcW w:w="0" w:type="auto"/>
          </w:tcPr>
          <w:p w:rsidR="551A4624" w:rsidRDefault="551A4624" w:rsidP="551A4624" w14:paraId="06D4C7C7" w14:textId="674B5561">
            <w:r w:rsidR="551A4624">
              <w:rPr>
                <w:sz w:val="18"/>
                <w:szCs w:val="18"/>
              </w:rPr>
              <w:t xml:space="preserve">Any scientific/medical written deliverable</w:t>
            </w:r>
          </w:p>
        </w:tc>
      </w:tr>
      <w:tr>
        <w:tc>
          <w:tcPr>
            <w:tcW w:w="0" w:type="auto"/>
          </w:tcPr>
          <w:p w:rsidR="551A4624" w:rsidRDefault="551A4624" w:rsidP="551A4624" w14:paraId="565B05AA" w14:textId="463AB09C">
            <w:r w:rsidR="551A4624">
              <w:rPr>
                <w:sz w:val="18"/>
                <w:szCs w:val="18"/>
              </w:rPr>
              <w:t xml:space="preserve">publication-planner</w:t>
            </w:r>
          </w:p>
        </w:tc>
        <w:tc>
          <w:tcPr>
            <w:tcW w:w="0" w:type="auto"/>
          </w:tcPr>
          <w:p w:rsidR="551A4624" w:rsidRDefault="551A4624" w:rsidP="551A4624" w14:paraId="7EF04DEF" w14:textId="19AA13D5">
            <w:r w:rsidR="551A4624">
              <w:rPr>
                <w:sz w:val="18"/>
                <w:szCs w:val="18"/>
              </w:rPr>
              <w:t xml:space="preserve">Publication strategies, manuscript tracking, journal selection</w:t>
            </w:r>
          </w:p>
        </w:tc>
        <w:tc>
          <w:tcPr>
            <w:tcW w:w="0" w:type="auto"/>
          </w:tcPr>
          <w:p w:rsidR="551A4624" w:rsidRDefault="551A4624" w:rsidP="551A4624" w14:paraId="24B8ECCD" w14:textId="3EA148DE">
            <w:r w:rsidR="551A4624">
              <w:rPr>
                <w:sz w:val="18"/>
                <w:szCs w:val="18"/>
              </w:rPr>
              <w:t xml:space="preserve">Publication lifecycle management</w:t>
            </w:r>
          </w:p>
        </w:tc>
      </w:tr>
      <w:tr>
        <w:tc>
          <w:tcPr>
            <w:tcW w:w="0" w:type="auto"/>
          </w:tcPr>
          <w:p w:rsidR="551A4624" w:rsidRDefault="551A4624" w:rsidP="551A4624" w14:paraId="4D6EC204" w14:textId="0714994B">
            <w:r w:rsidR="551A4624">
              <w:rPr>
                <w:sz w:val="18"/>
                <w:szCs w:val="18"/>
              </w:rPr>
              <w:t xml:space="preserve">value-dossier-builder</w:t>
            </w:r>
          </w:p>
        </w:tc>
        <w:tc>
          <w:tcPr>
            <w:tcW w:w="0" w:type="auto"/>
          </w:tcPr>
          <w:p w:rsidR="551A4624" w:rsidRDefault="551A4624" w:rsidP="551A4624" w14:paraId="2279228F" w14:textId="44B85D0F">
            <w:r w:rsidR="551A4624">
              <w:rPr>
                <w:sz w:val="18"/>
                <w:szCs w:val="18"/>
              </w:rPr>
              <w:t xml:space="preserve">AMCP dossiers, global value dossiers, payer toolkits</w:t>
            </w:r>
          </w:p>
        </w:tc>
        <w:tc>
          <w:tcPr>
            <w:tcW w:w="0" w:type="auto"/>
          </w:tcPr>
          <w:p w:rsidR="551A4624" w:rsidRDefault="551A4624" w:rsidP="551A4624" w14:paraId="45A2264B" w14:textId="56040142">
            <w:r w:rsidR="551A4624">
              <w:rPr>
                <w:sz w:val="18"/>
                <w:szCs w:val="18"/>
              </w:rPr>
              <w:t xml:space="preserve">Value evidence packages for payers</w:t>
            </w:r>
          </w:p>
        </w:tc>
      </w:tr>
      <w:tr>
        <w:tc>
          <w:tcPr>
            <w:tcW w:w="0" w:type="auto"/>
          </w:tcPr>
          <w:p w:rsidR="551A4624" w:rsidRDefault="551A4624" w:rsidP="551A4624" w14:paraId="2FCF7F35" w14:textId="0A7B9934">
            <w:r w:rsidR="551A4624">
              <w:rPr>
                <w:sz w:val="18"/>
                <w:szCs w:val="18"/>
              </w:rPr>
              <w:t xml:space="preserve">HEOR-analyst</w:t>
            </w:r>
          </w:p>
        </w:tc>
        <w:tc>
          <w:tcPr>
            <w:tcW w:w="0" w:type="auto"/>
          </w:tcPr>
          <w:p w:rsidR="551A4624" w:rsidRDefault="551A4624" w:rsidP="551A4624" w14:paraId="7046BC34" w14:textId="7A6874C6">
            <w:r w:rsidR="551A4624">
              <w:rPr>
                <w:sz w:val="18"/>
                <w:szCs w:val="18"/>
              </w:rPr>
              <w:t xml:space="preserve">Cost-effectiveness, budget impact, PRO strategy, RWE design</w:t>
            </w:r>
          </w:p>
        </w:tc>
        <w:tc>
          <w:tcPr>
            <w:tcW w:w="0" w:type="auto"/>
          </w:tcPr>
          <w:p w:rsidR="551A4624" w:rsidRDefault="551A4624" w:rsidP="551A4624" w14:paraId="6A95FB94" w14:textId="13E524CC">
            <w:r w:rsidR="551A4624">
              <w:rPr>
                <w:sz w:val="18"/>
                <w:szCs w:val="18"/>
              </w:rPr>
              <w:t xml:space="preserve">Health economics and outcomes research</w:t>
            </w:r>
          </w:p>
        </w:tc>
      </w:tr>
      <w:tr>
        <w:tc>
          <w:tcPr>
            <w:tcW w:w="0" w:type="auto"/>
          </w:tcPr>
          <w:p w:rsidR="551A4624" w:rsidRDefault="551A4624" w:rsidP="551A4624" w14:paraId="491B0569" w14:textId="5C3AD372">
            <w:r w:rsidR="551A4624">
              <w:rPr>
                <w:sz w:val="18"/>
                <w:szCs w:val="18"/>
              </w:rPr>
              <w:t xml:space="preserve">advisory-board-designer</w:t>
            </w:r>
          </w:p>
        </w:tc>
        <w:tc>
          <w:tcPr>
            <w:tcW w:w="0" w:type="auto"/>
          </w:tcPr>
          <w:p w:rsidR="551A4624" w:rsidRDefault="551A4624" w:rsidP="551A4624" w14:paraId="289FB1B8" w14:textId="52EEAA06">
            <w:r w:rsidR="551A4624">
              <w:rPr>
                <w:sz w:val="18"/>
                <w:szCs w:val="18"/>
              </w:rPr>
              <w:t xml:space="preserve">Advisory board design, KOL meetings, medical education</w:t>
            </w:r>
          </w:p>
        </w:tc>
        <w:tc>
          <w:tcPr>
            <w:tcW w:w="0" w:type="auto"/>
          </w:tcPr>
          <w:p w:rsidR="551A4624" w:rsidRDefault="551A4624" w:rsidP="551A4624" w14:paraId="379E94DC" w14:textId="6E4EB418">
            <w:r w:rsidR="551A4624">
              <w:rPr>
                <w:sz w:val="18"/>
                <w:szCs w:val="18"/>
              </w:rPr>
              <w:t xml:space="preserve">Meeting design and medical education</w:t>
            </w:r>
          </w:p>
        </w:tc>
      </w:tr>
      <w:tr>
        <w:tc>
          <w:tcPr>
            <w:tcW w:w="0" w:type="auto"/>
          </w:tcPr>
          <w:p w:rsidR="551A4624" w:rsidRDefault="551A4624" w:rsidP="551A4624" w14:paraId="0019ED1C" w14:textId="411C7E7C">
            <w:r w:rsidR="551A4624">
              <w:rPr>
                <w:sz w:val="18"/>
                <w:szCs w:val="18"/>
              </w:rPr>
              <w:t xml:space="preserve">congress-strategy-planner</w:t>
            </w:r>
          </w:p>
        </w:tc>
        <w:tc>
          <w:tcPr>
            <w:tcW w:w="0" w:type="auto"/>
          </w:tcPr>
          <w:p w:rsidR="551A4624" w:rsidRDefault="551A4624" w:rsidP="551A4624" w14:paraId="32FC1904" w14:textId="5BC2111B">
            <w:r w:rsidR="551A4624">
              <w:rPr>
                <w:sz w:val="18"/>
                <w:szCs w:val="18"/>
              </w:rPr>
              <w:t xml:space="preserve">Congress plans, abstract prep, poster/presentation development</w:t>
            </w:r>
          </w:p>
        </w:tc>
        <w:tc>
          <w:tcPr>
            <w:tcW w:w="0" w:type="auto"/>
          </w:tcPr>
          <w:p w:rsidR="551A4624" w:rsidRDefault="551A4624" w:rsidP="551A4624" w14:paraId="244F4E4D" w14:textId="25450F8F">
            <w:r w:rsidR="551A4624">
              <w:rPr>
                <w:sz w:val="18"/>
                <w:szCs w:val="18"/>
              </w:rPr>
              <w:t xml:space="preserve">Congress and conference deliverables</w:t>
            </w:r>
          </w:p>
        </w:tc>
      </w:tr>
      <w:tr>
        <w:tc>
          <w:tcPr>
            <w:tcW w:w="0" w:type="auto"/>
          </w:tcPr>
          <w:p w:rsidR="551A4624" w:rsidRDefault="551A4624" w:rsidP="551A4624" w14:paraId="06001FB8" w14:textId="30677F2E">
            <w:r w:rsidR="551A4624">
              <w:rPr>
                <w:sz w:val="18"/>
                <w:szCs w:val="18"/>
              </w:rPr>
              <w:t xml:space="preserve">decision-architect</w:t>
            </w:r>
          </w:p>
        </w:tc>
        <w:tc>
          <w:tcPr>
            <w:tcW w:w="0" w:type="auto"/>
          </w:tcPr>
          <w:p w:rsidR="551A4624" w:rsidRDefault="551A4624" w:rsidP="551A4624" w14:paraId="1052DB51" w14:textId="48C73C22">
            <w:r w:rsidR="551A4624">
              <w:rPr>
                <w:sz w:val="18"/>
                <w:szCs w:val="18"/>
              </w:rPr>
              <w:t xml:space="preserve">Evidence strategy decisions, resource allocation</w:t>
            </w:r>
          </w:p>
        </w:tc>
        <w:tc>
          <w:tcPr>
            <w:tcW w:w="0" w:type="auto"/>
          </w:tcPr>
          <w:p w:rsidR="551A4624" w:rsidRDefault="551A4624" w:rsidP="551A4624" w14:paraId="61111E1F" w14:textId="51970C12">
            <w:r w:rsidR="551A4624">
              <w:rPr>
                <w:sz w:val="18"/>
                <w:szCs w:val="18"/>
              </w:rPr>
              <w:t xml:space="preserve">Choices with trade-offs needing frameworks</w:t>
            </w:r>
          </w:p>
        </w:tc>
      </w:tr>
      <w:tr>
        <w:tc>
          <w:tcPr>
            <w:tcW w:w="0" w:type="auto"/>
          </w:tcPr>
          <w:p w:rsidR="551A4624" w:rsidRDefault="551A4624" w:rsidP="551A4624" w14:paraId="1830C867" w14:textId="788BFCE6">
            <w:r w:rsidR="551A4624">
              <w:rPr>
                <w:sz w:val="18"/>
                <w:szCs w:val="18"/>
              </w:rPr>
              <w:t xml:space="preserve">payer-strategist</w:t>
            </w:r>
          </w:p>
        </w:tc>
        <w:tc>
          <w:tcPr>
            <w:tcW w:w="0" w:type="auto"/>
          </w:tcPr>
          <w:p w:rsidR="551A4624" w:rsidRDefault="551A4624" w:rsidP="551A4624" w14:paraId="7CF41CBE" w14:textId="3E761EF7">
            <w:r w:rsidR="551A4624">
              <w:rPr>
                <w:sz w:val="18"/>
                <w:szCs w:val="18"/>
              </w:rPr>
              <w:t xml:space="preserve">HTA readiness, evidence gap action plans, payer engagement</w:t>
            </w:r>
          </w:p>
        </w:tc>
        <w:tc>
          <w:tcPr>
            <w:tcW w:w="0" w:type="auto"/>
          </w:tcPr>
          <w:p w:rsidR="551A4624" w:rsidRDefault="551A4624" w:rsidP="551A4624" w14:paraId="3F3FAFB6" w14:textId="4CFB7E20">
            <w:r w:rsidR="551A4624">
              <w:rPr>
                <w:sz w:val="18"/>
                <w:szCs w:val="18"/>
              </w:rPr>
              <w:t xml:space="preserve">Payer-facing strategy and analysis</w:t>
            </w:r>
          </w:p>
        </w:tc>
      </w:tr>
    </w:tbl>
    <w:p w:rsidR="551A4624" w:rsidRDefault="551A4624" w:rsidP="551A4624" w14:paraId="256C79C8" w14:textId="72CDBD07">
      <w:pPr>
        <w:spacing w:after="120" w:before="60"/>
      </w:pPr>
      <w:r w:rsidR="551A4624">
        <w:t xml:space="preserve"/>
      </w:r>
    </w:p>
    <w:p w:rsidR="551A4624" w:rsidRDefault="551A4624" w:rsidP="551A4624" w14:paraId="4DF9ECDE" w14:textId="4425D975">
      <w:pPr>
        <w:pStyle w:val="Heading2"/>
      </w:pPr>
      <w:r w:rsidR="551A4624">
        <w:t>9.5 Review Agents (8)</w:t>
      </w:r>
    </w:p>
    <w:tbl>
      <w:tblPr>
        <w:tblStyle w:val="TableGrid"/>
        <w:tblW w:w="0" w:type="auto"/>
      </w:tblPr>
      <w:tblGrid>
        <w:gridCol w:w="3116"/>
        <w:gridCol w:w="3116"/>
        <w:gridCol w:w="3116"/>
      </w:tblGrid>
      <w:tr>
        <w:tc>
          <w:tcPr>
            <w:tcW w:w="0" w:type="auto"/>
            <w:shd w:fill="1B2A4A" w:val="clear"/>
          </w:tcPr>
          <w:p w:rsidR="551A4624" w:rsidRDefault="551A4624" w:rsidP="551A4624" w14:paraId="63610219" w14:textId="6268841E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Agent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6DF1B45F" w14:textId="78AC221C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What It Checks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70B12515" w14:textId="4E18EFB4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Include For</w:t>
            </w:r>
          </w:p>
        </w:tc>
      </w:tr>
      <w:tr>
        <w:tc>
          <w:tcPr>
            <w:tcW w:w="0" w:type="auto"/>
          </w:tcPr>
          <w:p w:rsidR="551A4624" w:rsidRDefault="551A4624" w:rsidP="551A4624" w14:paraId="67607504" w14:textId="52F314CF">
            <w:r w:rsidR="551A4624">
              <w:rPr>
                <w:sz w:val="18"/>
                <w:szCs w:val="18"/>
              </w:rPr>
              <w:t xml:space="preserve">clarity-reviewer</w:t>
            </w:r>
          </w:p>
        </w:tc>
        <w:tc>
          <w:tcPr>
            <w:tcW w:w="0" w:type="auto"/>
          </w:tcPr>
          <w:p w:rsidR="551A4624" w:rsidRDefault="551A4624" w:rsidP="551A4624" w14:paraId="79CDF15C" w14:textId="3DB0C9FF">
            <w:r w:rsidR="551A4624">
              <w:rPr>
                <w:sz w:val="18"/>
                <w:szCs w:val="18"/>
              </w:rPr>
              <w:t xml:space="preserve">Structure, readability, scannability</w:t>
            </w:r>
          </w:p>
        </w:tc>
        <w:tc>
          <w:tcPr>
            <w:tcW w:w="0" w:type="auto"/>
          </w:tcPr>
          <w:p w:rsidR="551A4624" w:rsidRDefault="551A4624" w:rsidP="551A4624" w14:paraId="22D812F4" w14:textId="284CD9D4">
            <w:r w:rsidR="551A4624">
              <w:rPr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w="0" w:type="auto"/>
          </w:tcPr>
          <w:p w:rsidR="551A4624" w:rsidRDefault="551A4624" w:rsidP="551A4624" w14:paraId="7862B696" w14:textId="1A7DBE22">
            <w:r w:rsidR="551A4624">
              <w:rPr>
                <w:sz w:val="18"/>
                <w:szCs w:val="18"/>
              </w:rPr>
              <w:t xml:space="preserve">completeness-auditor</w:t>
            </w:r>
          </w:p>
        </w:tc>
        <w:tc>
          <w:tcPr>
            <w:tcW w:w="0" w:type="auto"/>
          </w:tcPr>
          <w:p w:rsidR="551A4624" w:rsidRDefault="551A4624" w:rsidP="551A4624" w14:paraId="3044365E" w14:textId="4D38E7FC">
            <w:r w:rsidR="551A4624">
              <w:rPr>
                <w:sz w:val="18"/>
                <w:szCs w:val="18"/>
              </w:rPr>
              <w:t xml:space="preserve">Plan objectives, citations, sections, compliance checklists</w:t>
            </w:r>
          </w:p>
        </w:tc>
        <w:tc>
          <w:tcPr>
            <w:tcW w:w="0" w:type="auto"/>
          </w:tcPr>
          <w:p w:rsidR="551A4624" w:rsidRDefault="551A4624" w:rsidP="551A4624" w14:paraId="60B53737" w14:textId="0AAAC352">
            <w:r w:rsidR="551A4624">
              <w:rPr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w="0" w:type="auto"/>
          </w:tcPr>
          <w:p w:rsidR="551A4624" w:rsidRDefault="551A4624" w:rsidP="551A4624" w14:paraId="31CB0B09" w14:textId="4AA239B6">
            <w:r w:rsidR="551A4624">
              <w:rPr>
                <w:sz w:val="18"/>
                <w:szCs w:val="18"/>
              </w:rPr>
              <w:t xml:space="preserve">scientific-rigor-reviewer</w:t>
            </w:r>
          </w:p>
        </w:tc>
        <w:tc>
          <w:tcPr>
            <w:tcW w:w="0" w:type="auto"/>
          </w:tcPr>
          <w:p w:rsidR="551A4624" w:rsidRDefault="551A4624" w:rsidP="551A4624" w14:paraId="5874A142" w14:textId="0CBECEF1">
            <w:r w:rsidR="551A4624">
              <w:rPr>
                <w:sz w:val="18"/>
                <w:szCs w:val="18"/>
              </w:rPr>
              <w:t xml:space="preserve">Evidence quality, statistics, cross-trial caveats</w:t>
            </w:r>
          </w:p>
        </w:tc>
        <w:tc>
          <w:tcPr>
            <w:tcW w:w="0" w:type="auto"/>
          </w:tcPr>
          <w:p w:rsidR="551A4624" w:rsidRDefault="551A4624" w:rsidP="551A4624" w14:paraId="19967B15" w14:textId="3824B63F">
            <w:r w:rsidR="551A4624">
              <w:rPr>
                <w:sz w:val="18"/>
                <w:szCs w:val="18"/>
              </w:rPr>
              <w:t xml:space="preserve">All evidence-based deliverables</w:t>
            </w:r>
          </w:p>
        </w:tc>
      </w:tr>
      <w:tr>
        <w:tc>
          <w:tcPr>
            <w:tcW w:w="0" w:type="auto"/>
          </w:tcPr>
          <w:p w:rsidR="551A4624" w:rsidRDefault="551A4624" w:rsidP="551A4624" w14:paraId="231A87BD" w14:textId="5FE1C6BE">
            <w:r w:rsidR="551A4624">
              <w:rPr>
                <w:sz w:val="18"/>
                <w:szCs w:val="18"/>
              </w:rPr>
              <w:t xml:space="preserve">ICMJE-compliance-reviewer</w:t>
            </w:r>
          </w:p>
        </w:tc>
        <w:tc>
          <w:tcPr>
            <w:tcW w:w="0" w:type="auto"/>
          </w:tcPr>
          <w:p w:rsidR="551A4624" w:rsidRDefault="551A4624" w:rsidP="551A4624" w14:paraId="262612C9" w14:textId="1C17E263">
            <w:r w:rsidR="551A4624">
              <w:rPr>
                <w:sz w:val="18"/>
                <w:szCs w:val="18"/>
              </w:rPr>
              <w:t xml:space="preserve">Authorship criteria, GPP3, reporting standards</w:t>
            </w:r>
          </w:p>
        </w:tc>
        <w:tc>
          <w:tcPr>
            <w:tcW w:w="0" w:type="auto"/>
          </w:tcPr>
          <w:p w:rsidR="551A4624" w:rsidRDefault="551A4624" w:rsidP="551A4624" w14:paraId="049022FD" w14:textId="5148BC8B">
            <w:r w:rsidR="551A4624">
              <w:rPr>
                <w:sz w:val="18"/>
                <w:szCs w:val="18"/>
              </w:rPr>
              <w:t xml:space="preserve">Publication-related work</w:t>
            </w:r>
          </w:p>
        </w:tc>
      </w:tr>
      <w:tr>
        <w:tc>
          <w:tcPr>
            <w:tcW w:w="0" w:type="auto"/>
          </w:tcPr>
          <w:p w:rsidR="551A4624" w:rsidRDefault="551A4624" w:rsidP="551A4624" w14:paraId="76706A03" w14:textId="38CC38D3">
            <w:r w:rsidR="551A4624">
              <w:rPr>
                <w:sz w:val="18"/>
                <w:szCs w:val="18"/>
              </w:rPr>
              <w:t xml:space="preserve">promotional-review-checker</w:t>
            </w:r>
          </w:p>
        </w:tc>
        <w:tc>
          <w:tcPr>
            <w:tcW w:w="0" w:type="auto"/>
          </w:tcPr>
          <w:p w:rsidR="551A4624" w:rsidRDefault="551A4624" w:rsidP="551A4624" w14:paraId="076A2F1A" w14:textId="4575DDA3">
            <w:r w:rsidR="551A4624">
              <w:rPr>
                <w:sz w:val="18"/>
                <w:szCs w:val="18"/>
              </w:rPr>
              <w:t xml:space="preserve">Non-promotional language, fair balance, MLR readiness</w:t>
            </w:r>
          </w:p>
        </w:tc>
        <w:tc>
          <w:tcPr>
            <w:tcW w:w="0" w:type="auto"/>
          </w:tcPr>
          <w:p w:rsidR="551A4624" w:rsidRDefault="551A4624" w:rsidP="551A4624" w14:paraId="6D2BACA5" w14:textId="6597FA88">
            <w:r w:rsidR="551A4624">
              <w:rPr>
                <w:sz w:val="18"/>
                <w:szCs w:val="18"/>
              </w:rPr>
              <w:t xml:space="preserve">All external-facing deliverables</w:t>
            </w:r>
          </w:p>
        </w:tc>
      </w:tr>
      <w:tr>
        <w:tc>
          <w:tcPr>
            <w:tcW w:w="0" w:type="auto"/>
          </w:tcPr>
          <w:p w:rsidR="551A4624" w:rsidRDefault="551A4624" w:rsidP="551A4624" w14:paraId="285B50E9" w14:textId="475CFBC1">
            <w:r w:rsidR="551A4624">
              <w:rPr>
                <w:sz w:val="18"/>
                <w:szCs w:val="18"/>
              </w:rPr>
              <w:t xml:space="preserve">payer-relevance-reviewer</w:t>
            </w:r>
          </w:p>
        </w:tc>
        <w:tc>
          <w:tcPr>
            <w:tcW w:w="0" w:type="auto"/>
          </w:tcPr>
          <w:p w:rsidR="551A4624" w:rsidRDefault="551A4624" w:rsidP="551A4624" w14:paraId="56B3077C" w14:textId="3E24A690">
            <w:r w:rsidR="551A4624">
              <w:rPr>
                <w:sz w:val="18"/>
                <w:szCs w:val="18"/>
              </w:rPr>
              <w:t xml:space="preserve">HTA evidence requirements, comparators, CHEERS</w:t>
            </w:r>
          </w:p>
        </w:tc>
        <w:tc>
          <w:tcPr>
            <w:tcW w:w="0" w:type="auto"/>
          </w:tcPr>
          <w:p w:rsidR="551A4624" w:rsidRDefault="551A4624" w:rsidP="551A4624" w14:paraId="73F53E4D" w14:textId="04DDA708">
            <w:r w:rsidR="551A4624">
              <w:rPr>
                <w:sz w:val="18"/>
                <w:szCs w:val="18"/>
              </w:rPr>
              <w:t xml:space="preserve">Value dossiers, HEOR, payer materials</w:t>
            </w:r>
          </w:p>
        </w:tc>
      </w:tr>
      <w:tr>
        <w:tc>
          <w:tcPr>
            <w:tcW w:w="0" w:type="auto"/>
          </w:tcPr>
          <w:p w:rsidR="551A4624" w:rsidRDefault="551A4624" w:rsidP="551A4624" w14:paraId="0A8EF9F9" w14:textId="743CF08C">
            <w:r w:rsidR="551A4624">
              <w:rPr>
                <w:sz w:val="18"/>
                <w:szCs w:val="18"/>
              </w:rPr>
              <w:t xml:space="preserve">devils-advocate</w:t>
            </w:r>
          </w:p>
        </w:tc>
        <w:tc>
          <w:tcPr>
            <w:tcW w:w="0" w:type="auto"/>
          </w:tcPr>
          <w:p w:rsidR="551A4624" w:rsidRDefault="551A4624" w:rsidP="551A4624" w14:paraId="31FA0A50" w14:textId="6D5F2A89">
            <w:r w:rsidR="551A4624">
              <w:rPr>
                <w:sz w:val="18"/>
                <w:szCs w:val="18"/>
              </w:rPr>
              <w:t xml:space="preserve">Counter-arguments, blind spots, untested assumptions</w:t>
            </w:r>
          </w:p>
        </w:tc>
        <w:tc>
          <w:tcPr>
            <w:tcW w:w="0" w:type="auto"/>
          </w:tcPr>
          <w:p w:rsidR="551A4624" w:rsidRDefault="551A4624" w:rsidP="551A4624" w14:paraId="4E65554C" w14:textId="1BF14665">
            <w:r w:rsidR="551A4624">
              <w:rPr>
                <w:sz w:val="18"/>
                <w:szCs w:val="18"/>
              </w:rPr>
              <w:t xml:space="preserve">Board/Regulatory stakes only</w:t>
            </w:r>
          </w:p>
        </w:tc>
      </w:tr>
      <w:tr>
        <w:tc>
          <w:tcPr>
            <w:tcW w:w="0" w:type="auto"/>
          </w:tcPr>
          <w:p w:rsidR="551A4624" w:rsidRDefault="551A4624" w:rsidP="551A4624" w14:paraId="60AE0519" w14:textId="04A06B45">
            <w:r w:rsidR="551A4624">
              <w:rPr>
                <w:sz w:val="18"/>
                <w:szCs w:val="18"/>
              </w:rPr>
              <w:t xml:space="preserve">risk-assessor</w:t>
            </w:r>
          </w:p>
        </w:tc>
        <w:tc>
          <w:tcPr>
            <w:tcW w:w="0" w:type="auto"/>
          </w:tcPr>
          <w:p w:rsidR="551A4624" w:rsidRDefault="551A4624" w:rsidP="551A4624" w14:paraId="5C798A25" w14:textId="3ECAFD99">
            <w:r w:rsidR="551A4624">
              <w:rPr>
                <w:sz w:val="18"/>
                <w:szCs w:val="18"/>
              </w:rPr>
              <w:t xml:space="preserve">Compliance, scientific, reputational, competitive risks</w:t>
            </w:r>
          </w:p>
        </w:tc>
        <w:tc>
          <w:tcPr>
            <w:tcW w:w="0" w:type="auto"/>
          </w:tcPr>
          <w:p w:rsidR="551A4624" w:rsidRDefault="551A4624" w:rsidP="551A4624" w14:paraId="65C1CE52" w14:textId="4D67872B">
            <w:r w:rsidR="551A4624">
              <w:rPr>
                <w:sz w:val="18"/>
                <w:szCs w:val="18"/>
              </w:rPr>
              <w:t xml:space="preserve">Board/Regulatory stakes only</w:t>
            </w:r>
          </w:p>
        </w:tc>
      </w:tr>
    </w:tbl>
    <w:p w:rsidR="551A4624" w:rsidRDefault="551A4624" w:rsidP="551A4624" w14:paraId="6EBE2ACE" w14:textId="3BC676BC">
      <w:pPr>
        <w:spacing w:after="120" w:before="60"/>
      </w:pPr>
      <w:r w:rsidR="551A4624">
        <w:t xml:space="preserve"/>
      </w:r>
    </w:p>
    <w:p w:rsidR="551A4624" w:rsidRDefault="551A4624" w:rsidP="551A4624" w14:paraId="57FB8FD2" w14:textId="0297D57B">
      <w:pPr>
        <w:pStyle w:val="Heading2"/>
      </w:pPr>
      <w:r w:rsidR="551A4624">
        <w:t>9.6 Compliance Standards</w:t>
      </w:r>
    </w:p>
    <w:p w:rsidR="551A4624" w:rsidRDefault="551A4624" w:rsidP="551A4624" w14:paraId="339F9742" w14:textId="00C817A1">
      <w:pPr>
        <w:spacing w:after="120" w:before="60"/>
      </w:pPr>
      <w:r w:rsidR="551A4624">
        <w:t xml:space="preserve">All Medical Affairs deliverables must comply with applicable standards. The standards file at standards/medical-affairs-documents.md defines the full requirements.</w:t>
      </w:r>
    </w:p>
    <w:tbl>
      <w:tblPr>
        <w:tblStyle w:val="TableGrid"/>
        <w:tblW w:w="0" w:type="auto"/>
      </w:tblPr>
      <w:tblGrid>
        <w:gridCol w:w="3116"/>
        <w:gridCol w:w="3116"/>
        <w:gridCol w:w="3116"/>
      </w:tblGrid>
      <w:tr>
        <w:tc>
          <w:tcPr>
            <w:tcW w:w="0" w:type="auto"/>
            <w:shd w:fill="1B2A4A" w:val="clear"/>
          </w:tcPr>
          <w:p w:rsidR="551A4624" w:rsidRDefault="551A4624" w:rsidP="551A4624" w14:paraId="3411A414" w14:textId="27490AA0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Standard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3FFEC47B" w14:textId="28C40472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Applies To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76491C45" w14:textId="58046DC6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Key Requirements</w:t>
            </w:r>
          </w:p>
        </w:tc>
      </w:tr>
      <w:tr>
        <w:tc>
          <w:tcPr>
            <w:tcW w:w="0" w:type="auto"/>
          </w:tcPr>
          <w:p w:rsidR="551A4624" w:rsidRDefault="551A4624" w:rsidP="551A4624" w14:paraId="71D1F1CA" w14:textId="6CC25F3D">
            <w:r w:rsidR="551A4624">
              <w:rPr>
                <w:sz w:val="18"/>
                <w:szCs w:val="18"/>
              </w:rPr>
              <w:t xml:space="preserve">ICMJE</w:t>
            </w:r>
          </w:p>
        </w:tc>
        <w:tc>
          <w:tcPr>
            <w:tcW w:w="0" w:type="auto"/>
          </w:tcPr>
          <w:p w:rsidR="551A4624" w:rsidRDefault="551A4624" w:rsidP="551A4624" w14:paraId="40B5354A" w14:textId="7227A556">
            <w:r w:rsidR="551A4624">
              <w:rPr>
                <w:sz w:val="18"/>
                <w:szCs w:val="18"/>
              </w:rPr>
              <w:t xml:space="preserve">All publications</w:t>
            </w:r>
          </w:p>
        </w:tc>
        <w:tc>
          <w:tcPr>
            <w:tcW w:w="0" w:type="auto"/>
          </w:tcPr>
          <w:p w:rsidR="551A4624" w:rsidRDefault="551A4624" w:rsidP="551A4624" w14:paraId="51C693A8" w14:textId="71D5BD73">
            <w:r w:rsidR="551A4624">
              <w:rPr>
                <w:sz w:val="18"/>
                <w:szCs w:val="18"/>
              </w:rPr>
              <w:t xml:space="preserve">Authorship criteria, disclosure, trial registration</w:t>
            </w:r>
          </w:p>
        </w:tc>
      </w:tr>
      <w:tr>
        <w:tc>
          <w:tcPr>
            <w:tcW w:w="0" w:type="auto"/>
          </w:tcPr>
          <w:p w:rsidR="551A4624" w:rsidRDefault="551A4624" w:rsidP="551A4624" w14:paraId="6E904DD8" w14:textId="4B8C3180">
            <w:r w:rsidR="551A4624">
              <w:rPr>
                <w:sz w:val="18"/>
                <w:szCs w:val="18"/>
              </w:rPr>
              <w:t xml:space="preserve">GPP3</w:t>
            </w:r>
          </w:p>
        </w:tc>
        <w:tc>
          <w:tcPr>
            <w:tcW w:w="0" w:type="auto"/>
          </w:tcPr>
          <w:p w:rsidR="551A4624" w:rsidRDefault="551A4624" w:rsidP="551A4624" w14:paraId="1C4C6674" w14:textId="10DCC29A">
            <w:r w:rsidR="551A4624">
              <w:rPr>
                <w:sz w:val="18"/>
                <w:szCs w:val="18"/>
              </w:rPr>
              <w:t xml:space="preserve">All publication-related work</w:t>
            </w:r>
          </w:p>
        </w:tc>
        <w:tc>
          <w:tcPr>
            <w:tcW w:w="0" w:type="auto"/>
          </w:tcPr>
          <w:p w:rsidR="551A4624" w:rsidRDefault="551A4624" w:rsidP="551A4624" w14:paraId="4FD1654D" w14:textId="3F90675A">
            <w:r w:rsidR="551A4624">
              <w:rPr>
                <w:sz w:val="18"/>
                <w:szCs w:val="18"/>
              </w:rPr>
              <w:t xml:space="preserve">Non-promotional, balanced data, author involvement</w:t>
            </w:r>
          </w:p>
        </w:tc>
      </w:tr>
      <w:tr>
        <w:tc>
          <w:tcPr>
            <w:tcW w:w="0" w:type="auto"/>
          </w:tcPr>
          <w:p w:rsidR="551A4624" w:rsidRDefault="551A4624" w:rsidP="551A4624" w14:paraId="23682634" w14:textId="7D6FFB98">
            <w:r w:rsidR="551A4624">
              <w:rPr>
                <w:sz w:val="18"/>
                <w:szCs w:val="18"/>
              </w:rPr>
              <w:t xml:space="preserve">CHEERS 2022</w:t>
            </w:r>
          </w:p>
        </w:tc>
        <w:tc>
          <w:tcPr>
            <w:tcW w:w="0" w:type="auto"/>
          </w:tcPr>
          <w:p w:rsidR="551A4624" w:rsidRDefault="551A4624" w:rsidP="551A4624" w14:paraId="3122CA1C" w14:textId="1D3EB91B">
            <w:r w:rsidR="551A4624">
              <w:rPr>
                <w:sz w:val="18"/>
                <w:szCs w:val="18"/>
              </w:rPr>
              <w:t xml:space="preserve">Health economic evaluations</w:t>
            </w:r>
          </w:p>
        </w:tc>
        <w:tc>
          <w:tcPr>
            <w:tcW w:w="0" w:type="auto"/>
          </w:tcPr>
          <w:p w:rsidR="551A4624" w:rsidRDefault="551A4624" w:rsidP="551A4624" w14:paraId="11EDDEEC" w14:textId="140E7B8D">
            <w:r w:rsidR="551A4624">
              <w:rPr>
                <w:sz w:val="18"/>
                <w:szCs w:val="18"/>
              </w:rPr>
              <w:t xml:space="preserve">Perspective, time horizon, sensitivity analysis</w:t>
            </w:r>
          </w:p>
        </w:tc>
      </w:tr>
      <w:tr>
        <w:tc>
          <w:tcPr>
            <w:tcW w:w="0" w:type="auto"/>
          </w:tcPr>
          <w:p w:rsidR="551A4624" w:rsidRDefault="551A4624" w:rsidP="551A4624" w14:paraId="78628DA3" w14:textId="1FAF5179">
            <w:r w:rsidR="551A4624">
              <w:rPr>
                <w:sz w:val="18"/>
                <w:szCs w:val="18"/>
              </w:rPr>
              <w:t xml:space="preserve">PRISMA 2020</w:t>
            </w:r>
          </w:p>
        </w:tc>
        <w:tc>
          <w:tcPr>
            <w:tcW w:w="0" w:type="auto"/>
          </w:tcPr>
          <w:p w:rsidR="551A4624" w:rsidRDefault="551A4624" w:rsidP="551A4624" w14:paraId="4FCBFA98" w14:textId="3B32CB09">
            <w:r w:rsidR="551A4624">
              <w:rPr>
                <w:sz w:val="18"/>
                <w:szCs w:val="18"/>
              </w:rPr>
              <w:t xml:space="preserve">Systematic reviews</w:t>
            </w:r>
          </w:p>
        </w:tc>
        <w:tc>
          <w:tcPr>
            <w:tcW w:w="0" w:type="auto"/>
          </w:tcPr>
          <w:p w:rsidR="551A4624" w:rsidRDefault="551A4624" w:rsidP="551A4624" w14:paraId="2123F764" w14:textId="63FB5462">
            <w:r w:rsidR="551A4624">
              <w:rPr>
                <w:sz w:val="18"/>
                <w:szCs w:val="18"/>
              </w:rPr>
              <w:t xml:space="preserve">Flow diagram, search strategy, risk of bias</w:t>
            </w:r>
          </w:p>
        </w:tc>
      </w:tr>
      <w:tr>
        <w:tc>
          <w:tcPr>
            <w:tcW w:w="0" w:type="auto"/>
          </w:tcPr>
          <w:p w:rsidR="551A4624" w:rsidRDefault="551A4624" w:rsidP="551A4624" w14:paraId="6CDD3A99" w14:textId="4630777D">
            <w:r w:rsidR="551A4624">
              <w:rPr>
                <w:sz w:val="18"/>
                <w:szCs w:val="18"/>
              </w:rPr>
              <w:t xml:space="preserve">CONSORT</w:t>
            </w:r>
          </w:p>
        </w:tc>
        <w:tc>
          <w:tcPr>
            <w:tcW w:w="0" w:type="auto"/>
          </w:tcPr>
          <w:p w:rsidR="551A4624" w:rsidRDefault="551A4624" w:rsidP="551A4624" w14:paraId="555B2B2A" w14:textId="7465034B">
            <w:r w:rsidR="551A4624">
              <w:rPr>
                <w:sz w:val="18"/>
                <w:szCs w:val="18"/>
              </w:rPr>
              <w:t xml:space="preserve">RCT publications</w:t>
            </w:r>
          </w:p>
        </w:tc>
        <w:tc>
          <w:tcPr>
            <w:tcW w:w="0" w:type="auto"/>
          </w:tcPr>
          <w:p w:rsidR="551A4624" w:rsidRDefault="551A4624" w:rsidP="551A4624" w14:paraId="37F36DC6" w14:textId="01C0EC45">
            <w:r w:rsidR="551A4624">
              <w:rPr>
                <w:sz w:val="18"/>
                <w:szCs w:val="18"/>
              </w:rPr>
              <w:t xml:space="preserve">Flow diagram, ITT analysis, pre-specified endpoints</w:t>
            </w:r>
          </w:p>
        </w:tc>
      </w:tr>
      <w:tr>
        <w:tc>
          <w:tcPr>
            <w:tcW w:w="0" w:type="auto"/>
          </w:tcPr>
          <w:p w:rsidR="551A4624" w:rsidRDefault="551A4624" w:rsidP="551A4624" w14:paraId="763E7407" w14:textId="4BE92510">
            <w:r w:rsidR="551A4624">
              <w:rPr>
                <w:sz w:val="18"/>
                <w:szCs w:val="18"/>
              </w:rPr>
              <w:t xml:space="preserve">STROBE</w:t>
            </w:r>
          </w:p>
        </w:tc>
        <w:tc>
          <w:tcPr>
            <w:tcW w:w="0" w:type="auto"/>
          </w:tcPr>
          <w:p w:rsidR="551A4624" w:rsidRDefault="551A4624" w:rsidP="551A4624" w14:paraId="24BDE77F" w14:textId="09976E24">
            <w:r w:rsidR="551A4624">
              <w:rPr>
                <w:sz w:val="18"/>
                <w:szCs w:val="18"/>
              </w:rPr>
              <w:t xml:space="preserve">Observational studies</w:t>
            </w:r>
          </w:p>
        </w:tc>
        <w:tc>
          <w:tcPr>
            <w:tcW w:w="0" w:type="auto"/>
          </w:tcPr>
          <w:p w:rsidR="551A4624" w:rsidRDefault="551A4624" w:rsidP="551A4624" w14:paraId="31AAB804" w14:textId="45360F9C">
            <w:r w:rsidR="551A4624">
              <w:rPr>
                <w:sz w:val="18"/>
                <w:szCs w:val="18"/>
              </w:rPr>
              <w:t xml:space="preserve">Study design, confounding, missing data</w:t>
            </w:r>
          </w:p>
        </w:tc>
      </w:tr>
    </w:tbl>
    <w:p w:rsidR="551A4624" w:rsidRDefault="551A4624" w:rsidP="551A4624" w14:paraId="2EFF4495" w14:textId="02CC4DBA">
      <w:pPr>
        <w:spacing w:after="120" w:before="60"/>
      </w:pPr>
      <w:r w:rsidR="551A4624">
        <w:t xml:space="preserve"/>
      </w:r>
    </w:p>
    <w:p w:rsidR="551A4624" w:rsidRDefault="551A4624" w:rsidP="551A4624" w14:paraId="509401A0" w14:textId="2FA484E9">
      <w:pPr>
        <w:pStyle w:val="Heading2"/>
      </w:pPr>
      <w:r w:rsidR="551A4624">
        <w:t>9.7 Evidence Hierarchy</w:t>
      </w:r>
    </w:p>
    <w:p w:rsidR="551A4624" w:rsidRDefault="551A4624" w:rsidP="551A4624" w14:paraId="7CF8C0FA" w14:textId="7E06FA1D">
      <w:pPr>
        <w:spacing w:after="120" w:before="60"/>
      </w:pPr>
      <w:r w:rsidR="551A4624">
        <w:t xml:space="preserve">Every claim in a Medical Affairs deliverable must state its evidence level:</w:t>
      </w:r>
    </w:p>
    <w:tbl>
      <w:tblPr>
        <w:tblStyle w:val="TableGrid"/>
        <w:tblW w:w="0" w:type="auto"/>
      </w:tblPr>
      <w:tblGrid>
        <w:gridCol w:w="3116"/>
        <w:gridCol w:w="3116"/>
        <w:gridCol w:w="3116"/>
      </w:tblGrid>
      <w:tr>
        <w:tc>
          <w:tcPr>
            <w:tcW w:w="0" w:type="auto"/>
            <w:shd w:fill="1B2A4A" w:val="clear"/>
          </w:tcPr>
          <w:p w:rsidR="551A4624" w:rsidRDefault="551A4624" w:rsidP="551A4624" w14:paraId="23411361" w14:textId="291705FF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Level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5142B9D7" w14:textId="02A6B94C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Description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3E981D4C" w14:textId="3763C40E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Example</w:t>
            </w:r>
          </w:p>
        </w:tc>
      </w:tr>
      <w:tr>
        <w:tc>
          <w:tcPr>
            <w:tcW w:w="0" w:type="auto"/>
          </w:tcPr>
          <w:p w:rsidR="551A4624" w:rsidRDefault="551A4624" w:rsidP="551A4624" w14:paraId="7EA1E2F2" w14:textId="3F839A69">
            <w:r w:rsidR="551A4624">
              <w:rPr>
                <w:sz w:val="18"/>
                <w:szCs w:val="18"/>
              </w:rPr>
              <w:t xml:space="preserve">1a</w:t>
            </w:r>
          </w:p>
        </w:tc>
        <w:tc>
          <w:tcPr>
            <w:tcW w:w="0" w:type="auto"/>
          </w:tcPr>
          <w:p w:rsidR="551A4624" w:rsidRDefault="551A4624" w:rsidP="551A4624" w14:paraId="4670AF0D" w14:textId="0ED20DAB">
            <w:r w:rsidR="551A4624">
              <w:rPr>
                <w:sz w:val="18"/>
                <w:szCs w:val="18"/>
              </w:rPr>
              <w:t xml:space="preserve">Systematic review of RCTs</w:t>
            </w:r>
          </w:p>
        </w:tc>
        <w:tc>
          <w:tcPr>
            <w:tcW w:w="0" w:type="auto"/>
          </w:tcPr>
          <w:p w:rsidR="551A4624" w:rsidRDefault="551A4624" w:rsidP="551A4624" w14:paraId="4287A767" w14:textId="68BAD165">
            <w:r w:rsidR="551A4624">
              <w:rPr>
                <w:sz w:val="18"/>
                <w:szCs w:val="18"/>
              </w:rPr>
              <w:t xml:space="preserve">Cochrane review, published meta-analysis</w:t>
            </w:r>
          </w:p>
        </w:tc>
      </w:tr>
      <w:tr>
        <w:tc>
          <w:tcPr>
            <w:tcW w:w="0" w:type="auto"/>
          </w:tcPr>
          <w:p w:rsidR="551A4624" w:rsidRDefault="551A4624" w:rsidP="551A4624" w14:paraId="4DBDED35" w14:textId="49E262AE">
            <w:r w:rsidR="551A4624">
              <w:rPr>
                <w:sz w:val="18"/>
                <w:szCs w:val="18"/>
              </w:rPr>
              <w:t xml:space="preserve">1b</w:t>
            </w:r>
          </w:p>
        </w:tc>
        <w:tc>
          <w:tcPr>
            <w:tcW w:w="0" w:type="auto"/>
          </w:tcPr>
          <w:p w:rsidR="551A4624" w:rsidRDefault="551A4624" w:rsidP="551A4624" w14:paraId="69BD814C" w14:textId="584D825A">
            <w:r w:rsidR="551A4624">
              <w:rPr>
                <w:sz w:val="18"/>
                <w:szCs w:val="18"/>
              </w:rPr>
              <w:t xml:space="preserve">Individual RCT</w:t>
            </w:r>
          </w:p>
        </w:tc>
        <w:tc>
          <w:tcPr>
            <w:tcW w:w="0" w:type="auto"/>
          </w:tcPr>
          <w:p w:rsidR="551A4624" w:rsidRDefault="551A4624" w:rsidP="551A4624" w14:paraId="0506460D" w14:textId="55DB5B0B">
            <w:r w:rsidR="551A4624">
              <w:rPr>
                <w:sz w:val="18"/>
                <w:szCs w:val="18"/>
              </w:rPr>
              <w:t xml:space="preserve">Phase 3 pivotal trial</w:t>
            </w:r>
          </w:p>
        </w:tc>
      </w:tr>
      <w:tr>
        <w:tc>
          <w:tcPr>
            <w:tcW w:w="0" w:type="auto"/>
          </w:tcPr>
          <w:p w:rsidR="551A4624" w:rsidRDefault="551A4624" w:rsidP="551A4624" w14:paraId="2401945A" w14:textId="6695D619">
            <w:r w:rsidR="551A4624">
              <w:rPr>
                <w:sz w:val="18"/>
                <w:szCs w:val="18"/>
              </w:rPr>
              <w:t xml:space="preserve">2a</w:t>
            </w:r>
          </w:p>
        </w:tc>
        <w:tc>
          <w:tcPr>
            <w:tcW w:w="0" w:type="auto"/>
          </w:tcPr>
          <w:p w:rsidR="551A4624" w:rsidRDefault="551A4624" w:rsidP="551A4624" w14:paraId="44AC5AC0" w14:textId="1D4F0474">
            <w:r w:rsidR="551A4624">
              <w:rPr>
                <w:sz w:val="18"/>
                <w:szCs w:val="18"/>
              </w:rPr>
              <w:t xml:space="preserve">Systematic review of cohort studies</w:t>
            </w:r>
          </w:p>
        </w:tc>
        <w:tc>
          <w:tcPr>
            <w:tcW w:w="0" w:type="auto"/>
          </w:tcPr>
          <w:p w:rsidR="551A4624" w:rsidRDefault="551A4624" w:rsidP="551A4624" w14:paraId="6249D3D1" w14:textId="78376BA4">
            <w:r w:rsidR="551A4624">
              <w:rPr>
                <w:sz w:val="18"/>
                <w:szCs w:val="18"/>
              </w:rPr>
              <w:t xml:space="preserve">Published systematic review of observational data</w:t>
            </w:r>
          </w:p>
        </w:tc>
      </w:tr>
      <w:tr>
        <w:tc>
          <w:tcPr>
            <w:tcW w:w="0" w:type="auto"/>
          </w:tcPr>
          <w:p w:rsidR="551A4624" w:rsidRDefault="551A4624" w:rsidP="551A4624" w14:paraId="14263D81" w14:textId="1A9F80D7">
            <w:r w:rsidR="551A4624">
              <w:rPr>
                <w:sz w:val="18"/>
                <w:szCs w:val="18"/>
              </w:rPr>
              <w:t xml:space="preserve">2b</w:t>
            </w:r>
          </w:p>
        </w:tc>
        <w:tc>
          <w:tcPr>
            <w:tcW w:w="0" w:type="auto"/>
          </w:tcPr>
          <w:p w:rsidR="551A4624" w:rsidRDefault="551A4624" w:rsidP="551A4624" w14:paraId="73F4F5A0" w14:textId="3AE62638">
            <w:r w:rsidR="551A4624">
              <w:rPr>
                <w:sz w:val="18"/>
                <w:szCs w:val="18"/>
              </w:rPr>
              <w:t xml:space="preserve">Individual cohort / low-quality RCT</w:t>
            </w:r>
          </w:p>
        </w:tc>
        <w:tc>
          <w:tcPr>
            <w:tcW w:w="0" w:type="auto"/>
          </w:tcPr>
          <w:p w:rsidR="551A4624" w:rsidRDefault="551A4624" w:rsidP="551A4624" w14:paraId="4FBEF3B3" w14:textId="6F8A4A92">
            <w:r w:rsidR="551A4624">
              <w:rPr>
                <w:sz w:val="18"/>
                <w:szCs w:val="18"/>
              </w:rPr>
              <w:t xml:space="preserve">Phase 2, observational study</w:t>
            </w:r>
          </w:p>
        </w:tc>
      </w:tr>
      <w:tr>
        <w:tc>
          <w:tcPr>
            <w:tcW w:w="0" w:type="auto"/>
          </w:tcPr>
          <w:p w:rsidR="551A4624" w:rsidRDefault="551A4624" w:rsidP="551A4624" w14:paraId="68271608" w14:textId="190E7BFF">
            <w:r w:rsidR="551A4624">
              <w:rPr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 w:rsidR="551A4624" w:rsidRDefault="551A4624" w:rsidP="551A4624" w14:paraId="1D153CC2" w14:textId="486F3A1A">
            <w:r w:rsidR="551A4624">
              <w:rPr>
                <w:sz w:val="18"/>
                <w:szCs w:val="18"/>
              </w:rPr>
              <w:t xml:space="preserve">Case-control study</w:t>
            </w:r>
          </w:p>
        </w:tc>
        <w:tc>
          <w:tcPr>
            <w:tcW w:w="0" w:type="auto"/>
          </w:tcPr>
          <w:p w:rsidR="551A4624" w:rsidRDefault="551A4624" w:rsidP="551A4624" w14:paraId="55A95F13" w14:textId="749D8F80">
            <w:r w:rsidR="551A4624">
              <w:rPr>
                <w:sz w:val="18"/>
                <w:szCs w:val="18"/>
              </w:rPr>
              <w:t xml:space="preserve">Retrospective case-control</w:t>
            </w:r>
          </w:p>
        </w:tc>
      </w:tr>
      <w:tr>
        <w:tc>
          <w:tcPr>
            <w:tcW w:w="0" w:type="auto"/>
          </w:tcPr>
          <w:p w:rsidR="551A4624" w:rsidRDefault="551A4624" w:rsidP="551A4624" w14:paraId="73CAEBA7" w14:textId="3D2014E3">
            <w:r w:rsidR="551A4624">
              <w:rPr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 w:rsidR="551A4624" w:rsidRDefault="551A4624" w:rsidP="551A4624" w14:paraId="00058817" w14:textId="07177BA9">
            <w:r w:rsidR="551A4624">
              <w:rPr>
                <w:sz w:val="18"/>
                <w:szCs w:val="18"/>
              </w:rPr>
              <w:t xml:space="preserve">Case series / case report</w:t>
            </w:r>
          </w:p>
        </w:tc>
        <w:tc>
          <w:tcPr>
            <w:tcW w:w="0" w:type="auto"/>
          </w:tcPr>
          <w:p w:rsidR="551A4624" w:rsidRDefault="551A4624" w:rsidP="551A4624" w14:paraId="5D8C4C98" w14:textId="466A2243">
            <w:r w:rsidR="551A4624">
              <w:rPr>
                <w:sz w:val="18"/>
                <w:szCs w:val="18"/>
              </w:rPr>
              <w:t xml:space="preserve">Published case series</w:t>
            </w:r>
          </w:p>
        </w:tc>
      </w:tr>
      <w:tr>
        <w:tc>
          <w:tcPr>
            <w:tcW w:w="0" w:type="auto"/>
          </w:tcPr>
          <w:p w:rsidR="551A4624" w:rsidRDefault="551A4624" w:rsidP="551A4624" w14:paraId="66CBF3CB" w14:textId="09A24DED">
            <w:r w:rsidR="551A4624">
              <w:rPr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 w:rsidR="551A4624" w:rsidRDefault="551A4624" w:rsidP="551A4624" w14:paraId="2DC216C1" w14:textId="02A2198D">
            <w:r w:rsidR="551A4624">
              <w:rPr>
                <w:sz w:val="18"/>
                <w:szCs w:val="18"/>
              </w:rPr>
              <w:t xml:space="preserve">Expert opinion</w:t>
            </w:r>
          </w:p>
        </w:tc>
        <w:tc>
          <w:tcPr>
            <w:tcW w:w="0" w:type="auto"/>
          </w:tcPr>
          <w:p w:rsidR="551A4624" w:rsidRDefault="551A4624" w:rsidP="551A4624" w14:paraId="2658477B" w14:textId="7716AF11">
            <w:r w:rsidR="551A4624">
              <w:rPr>
                <w:sz w:val="18"/>
                <w:szCs w:val="18"/>
              </w:rPr>
              <w:t xml:space="preserve">KOL opinion, preclinical rationale</w:t>
            </w:r>
          </w:p>
        </w:tc>
      </w:tr>
      <w:tr>
        <w:tc>
          <w:tcPr>
            <w:tcW w:w="0" w:type="auto"/>
          </w:tcPr>
          <w:p w:rsidR="551A4624" w:rsidRDefault="551A4624" w:rsidP="551A4624" w14:paraId="079ACE5F" w14:textId="6E0CA294">
            <w:r w:rsidR="551A4624">
              <w:rPr>
                <w:sz w:val="18"/>
                <w:szCs w:val="18"/>
              </w:rPr>
              <w:t xml:space="preserve">Preprint</w:t>
            </w:r>
          </w:p>
        </w:tc>
        <w:tc>
          <w:tcPr>
            <w:tcW w:w="0" w:type="auto"/>
          </w:tcPr>
          <w:p w:rsidR="551A4624" w:rsidRDefault="551A4624" w:rsidP="551A4624" w14:paraId="4804B306" w14:textId="3C9A1932">
            <w:r w:rsidR="551A4624">
              <w:rPr>
                <w:sz w:val="18"/>
                <w:szCs w:val="18"/>
              </w:rPr>
              <w:t xml:space="preserve">Not peer-reviewed</w:t>
            </w:r>
          </w:p>
        </w:tc>
        <w:tc>
          <w:tcPr>
            <w:tcW w:w="0" w:type="auto"/>
          </w:tcPr>
          <w:p w:rsidR="551A4624" w:rsidRDefault="551A4624" w:rsidP="551A4624" w14:paraId="0E5EBCB8" w14:textId="256FF847">
            <w:r w:rsidR="551A4624">
              <w:rPr>
                <w:sz w:val="18"/>
                <w:szCs w:val="18"/>
              </w:rPr>
              <w:t xml:space="preserve">bioRxiv/medRxiv — must be flagged</w:t>
            </w:r>
          </w:p>
        </w:tc>
      </w:tr>
    </w:tbl>
    <w:p w:rsidR="551A4624" w:rsidRDefault="551A4624" w:rsidP="551A4624" w14:paraId="532708B1" w14:textId="0C4C5E52">
      <w:pPr>
        <w:spacing w:after="120" w:before="60"/>
      </w:pPr>
      <w:r w:rsidR="551A4624">
        <w:t xml:space="preserve"/>
      </w:r>
    </w:p>
    <w:p w:rsidR="551A4624" w:rsidRDefault="551A4624" w:rsidP="551A4624" w14:paraId="4532FC12" w14:textId="5B2977F5">
      <w:pPr>
        <w:pStyle w:val="Heading2"/>
      </w:pPr>
      <w:r w:rsidR="551A4624">
        <w:t>9.8 MCP Tool Integration</w:t>
      </w:r>
    </w:p>
    <w:p w:rsidR="551A4624" w:rsidRDefault="551A4624" w:rsidP="551A4624" w14:paraId="6D098AD8" w14:textId="05F0D186">
      <w:pPr>
        <w:spacing w:after="120" w:before="60"/>
      </w:pPr>
      <w:r w:rsidR="551A4624">
        <w:t xml:space="preserve">The same MCP tools from the pharma/biotech plugin are used, but wired to different agents:</w:t>
      </w:r>
    </w:p>
    <w:tbl>
      <w:tblPr>
        <w:tblStyle w:val="TableGrid"/>
        <w:tblW w:w="0" w:type="auto"/>
      </w:tblPr>
      <w:tblGrid>
        <w:gridCol w:w="3116"/>
        <w:gridCol w:w="3116"/>
        <w:gridCol w:w="3116"/>
      </w:tblGrid>
      <w:tr>
        <w:tc>
          <w:tcPr>
            <w:tcW w:w="0" w:type="auto"/>
            <w:shd w:fill="1B2A4A" w:val="clear"/>
          </w:tcPr>
          <w:p w:rsidR="551A4624" w:rsidRDefault="551A4624" w:rsidP="551A4624" w14:paraId="20413A77" w14:textId="56594A0B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Database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0A6DB3AB" w14:textId="631BD162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What It Provides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215F90E8" w14:textId="20AAB1F3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Used By</w:t>
            </w:r>
          </w:p>
        </w:tc>
      </w:tr>
      <w:tr>
        <w:tc>
          <w:tcPr>
            <w:tcW w:w="0" w:type="auto"/>
          </w:tcPr>
          <w:p w:rsidR="551A4624" w:rsidRDefault="551A4624" w:rsidP="551A4624" w14:paraId="30293913" w14:textId="34FB466D">
            <w:r w:rsidR="551A4624">
              <w:rPr>
                <w:sz w:val="18"/>
                <w:szCs w:val="18"/>
              </w:rPr>
              <w:t xml:space="preserve">PubMed</w:t>
            </w:r>
          </w:p>
        </w:tc>
        <w:tc>
          <w:tcPr>
            <w:tcW w:w="0" w:type="auto"/>
          </w:tcPr>
          <w:p w:rsidR="551A4624" w:rsidRDefault="551A4624" w:rsidP="551A4624" w14:paraId="2619ADAA" w14:textId="6FBBEF24">
            <w:r w:rsidR="551A4624">
              <w:rPr>
                <w:sz w:val="18"/>
                <w:szCs w:val="18"/>
              </w:rPr>
              <w:t xml:space="preserve">Published literature, clinical trial results, systematic reviews</w:t>
            </w:r>
          </w:p>
        </w:tc>
        <w:tc>
          <w:tcPr>
            <w:tcW w:w="0" w:type="auto"/>
          </w:tcPr>
          <w:p w:rsidR="551A4624" w:rsidRDefault="551A4624" w:rsidP="551A4624" w14:paraId="5D4996E3" w14:textId="628EB945">
            <w:r w:rsidR="551A4624">
              <w:rPr>
                <w:sz w:val="18"/>
                <w:szCs w:val="18"/>
              </w:rPr>
              <w:t xml:space="preserve">evidence-synthesizer, publication-landscape-scout</w:t>
            </w:r>
          </w:p>
        </w:tc>
      </w:tr>
      <w:tr>
        <w:tc>
          <w:tcPr>
            <w:tcW w:w="0" w:type="auto"/>
          </w:tcPr>
          <w:p w:rsidR="551A4624" w:rsidRDefault="551A4624" w:rsidP="551A4624" w14:paraId="05F68341" w14:textId="60689488">
            <w:r w:rsidR="551A4624">
              <w:rPr>
                <w:sz w:val="18"/>
                <w:szCs w:val="18"/>
              </w:rPr>
              <w:t xml:space="preserve">bioRxiv / medRxiv</w:t>
            </w:r>
          </w:p>
        </w:tc>
        <w:tc>
          <w:tcPr>
            <w:tcW w:w="0" w:type="auto"/>
          </w:tcPr>
          <w:p w:rsidR="551A4624" w:rsidRDefault="551A4624" w:rsidP="551A4624" w14:paraId="1B0E6366" w14:textId="0026E73D">
            <w:r w:rsidR="551A4624">
              <w:rPr>
                <w:sz w:val="18"/>
                <w:szCs w:val="18"/>
              </w:rPr>
              <w:t xml:space="preserve">Preprints before peer review</w:t>
            </w:r>
          </w:p>
        </w:tc>
        <w:tc>
          <w:tcPr>
            <w:tcW w:w="0" w:type="auto"/>
          </w:tcPr>
          <w:p w:rsidR="551A4624" w:rsidRDefault="551A4624" w:rsidP="551A4624" w14:paraId="29D096A9" w14:textId="1A45810F">
            <w:r w:rsidR="551A4624">
              <w:rPr>
                <w:sz w:val="18"/>
                <w:szCs w:val="18"/>
              </w:rPr>
              <w:t xml:space="preserve">evidence-synthesizer, publication-landscape-scout</w:t>
            </w:r>
          </w:p>
        </w:tc>
      </w:tr>
      <w:tr>
        <w:tc>
          <w:tcPr>
            <w:tcW w:w="0" w:type="auto"/>
          </w:tcPr>
          <w:p w:rsidR="551A4624" w:rsidRDefault="551A4624" w:rsidP="551A4624" w14:paraId="48E656ED" w14:textId="105C81AB">
            <w:r w:rsidR="551A4624">
              <w:rPr>
                <w:sz w:val="18"/>
                <w:szCs w:val="18"/>
              </w:rPr>
              <w:t xml:space="preserve">ClinicalTrials.gov</w:t>
            </w:r>
          </w:p>
        </w:tc>
        <w:tc>
          <w:tcPr>
            <w:tcW w:w="0" w:type="auto"/>
          </w:tcPr>
          <w:p w:rsidR="551A4624" w:rsidRDefault="551A4624" w:rsidP="551A4624" w14:paraId="2A1BEBB4" w14:textId="54185A23">
            <w:r w:rsidR="551A4624">
              <w:rPr>
                <w:sz w:val="18"/>
                <w:szCs w:val="18"/>
              </w:rPr>
              <w:t xml:space="preserve">Trial landscape, endpoints, investigators</w:t>
            </w:r>
          </w:p>
        </w:tc>
        <w:tc>
          <w:tcPr>
            <w:tcW w:w="0" w:type="auto"/>
          </w:tcPr>
          <w:p w:rsidR="551A4624" w:rsidRDefault="551A4624" w:rsidP="551A4624" w14:paraId="3B19F9DF" w14:textId="161D69E3">
            <w:r w:rsidR="551A4624">
              <w:rPr>
                <w:sz w:val="18"/>
                <w:szCs w:val="18"/>
              </w:rPr>
              <w:t xml:space="preserve">evidence-synthesizer, competitor-evidence-tracker</w:t>
            </w:r>
          </w:p>
        </w:tc>
      </w:tr>
      <w:tr>
        <w:tc>
          <w:tcPr>
            <w:tcW w:w="0" w:type="auto"/>
          </w:tcPr>
          <w:p w:rsidR="551A4624" w:rsidRDefault="551A4624" w:rsidP="551A4624" w14:paraId="12536D4C" w14:textId="1DAA0078">
            <w:r w:rsidR="551A4624">
              <w:rPr>
                <w:sz w:val="18"/>
                <w:szCs w:val="18"/>
              </w:rPr>
              <w:t xml:space="preserve">ChEMBL</w:t>
            </w:r>
          </w:p>
        </w:tc>
        <w:tc>
          <w:tcPr>
            <w:tcW w:w="0" w:type="auto"/>
          </w:tcPr>
          <w:p w:rsidR="551A4624" w:rsidRDefault="551A4624" w:rsidP="551A4624" w14:paraId="40842E8B" w14:textId="067D6FCA">
            <w:r w:rsidR="551A4624">
              <w:rPr>
                <w:sz w:val="18"/>
                <w:szCs w:val="18"/>
              </w:rPr>
              <w:t xml:space="preserve">Compound profiles, target biology, drug mechanisms</w:t>
            </w:r>
          </w:p>
        </w:tc>
        <w:tc>
          <w:tcPr>
            <w:tcW w:w="0" w:type="auto"/>
          </w:tcPr>
          <w:p w:rsidR="551A4624" w:rsidRDefault="551A4624" w:rsidP="551A4624" w14:paraId="092E879F" w14:textId="72DE4BE8">
            <w:r w:rsidR="551A4624">
              <w:rPr>
                <w:sz w:val="18"/>
                <w:szCs w:val="18"/>
              </w:rPr>
              <w:t xml:space="preserve">competitor-evidence-tracker</w:t>
            </w:r>
          </w:p>
        </w:tc>
      </w:tr>
      <w:tr>
        <w:tc>
          <w:tcPr>
            <w:tcW w:w="0" w:type="auto"/>
          </w:tcPr>
          <w:p w:rsidR="551A4624" w:rsidRDefault="551A4624" w:rsidP="551A4624" w14:paraId="2B2E737A" w14:textId="2E2B141B">
            <w:r w:rsidR="551A4624">
              <w:rPr>
                <w:sz w:val="18"/>
                <w:szCs w:val="18"/>
              </w:rPr>
              <w:t xml:space="preserve">Open Targets</w:t>
            </w:r>
          </w:p>
        </w:tc>
        <w:tc>
          <w:tcPr>
            <w:tcW w:w="0" w:type="auto"/>
          </w:tcPr>
          <w:p w:rsidR="551A4624" w:rsidRDefault="551A4624" w:rsidP="551A4624" w14:paraId="276771E4" w14:textId="4EAE10A7">
            <w:r w:rsidR="551A4624">
              <w:rPr>
                <w:sz w:val="18"/>
                <w:szCs w:val="18"/>
              </w:rPr>
              <w:t xml:space="preserve">Target-disease associations, genetic evidence</w:t>
            </w:r>
          </w:p>
        </w:tc>
        <w:tc>
          <w:tcPr>
            <w:tcW w:w="0" w:type="auto"/>
          </w:tcPr>
          <w:p w:rsidR="551A4624" w:rsidRDefault="551A4624" w:rsidP="551A4624" w14:paraId="3EF3F31C" w14:textId="67A991BE">
            <w:r w:rsidR="551A4624">
              <w:rPr>
                <w:sz w:val="18"/>
                <w:szCs w:val="18"/>
              </w:rPr>
              <w:t xml:space="preserve">competitor-evidence-tracker</w:t>
            </w:r>
          </w:p>
        </w:tc>
      </w:tr>
    </w:tbl>
    <w:p w:rsidR="551A4624" w:rsidRDefault="551A4624" w:rsidP="551A4624" w14:paraId="0A2E2B39" w14:textId="31A5363C">
      <w:pPr>
        <w:spacing w:after="120" w:before="60"/>
      </w:pPr>
      <w:r w:rsidR="551A4624">
        <w:t xml:space="preserve"/>
      </w:r>
    </w:p>
    <w:p w:rsidR="551A4624" w:rsidRDefault="551A4624" w:rsidP="551A4624" w14:paraId="5B014528" w14:textId="07BFC2B6">
      <w:pPr>
        <w:pStyle w:val="Heading2"/>
      </w:pPr>
      <w:r w:rsidR="551A4624">
        <w:t>9.9 Stakes-Based Progressive Loading</w:t>
      </w:r>
    </w:p>
    <w:tbl>
      <w:tblPr>
        <w:tblStyle w:val="TableGrid"/>
        <w:tblW w:w="0" w:type="auto"/>
      </w:tblPr>
      <w:tblGrid>
        <w:gridCol w:w="2337"/>
        <w:gridCol w:w="2337"/>
        <w:gridCol w:w="2337"/>
        <w:gridCol w:w="2337"/>
      </w:tblGrid>
      <w:tr>
        <w:tc>
          <w:tcPr>
            <w:tcW w:w="0" w:type="auto"/>
            <w:shd w:fill="1B2A4A" w:val="clear"/>
          </w:tcPr>
          <w:p w:rsidR="551A4624" w:rsidRDefault="551A4624" w:rsidP="551A4624" w14:paraId="33181CF7" w14:textId="3A99D124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Stakes Level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4F8FF6A5" w14:textId="30DF2957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When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406229D5" w14:textId="147D22D3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Research Agents</w:t>
            </w:r>
          </w:p>
        </w:tc>
        <w:tc>
          <w:tcPr>
            <w:tcW w:w="0" w:type="auto"/>
            <w:shd w:fill="1B2A4A" w:val="clear"/>
          </w:tcPr>
          <w:p w:rsidR="551A4624" w:rsidRDefault="551A4624" w:rsidP="551A4624" w14:paraId="0945808B" w14:textId="00503BC7">
            <w:r w:rsidR="551A4624">
              <w:rPr>
                <w:sz w:val="18"/>
                <w:szCs w:val="18"/>
                <w:color w:val="FFFFFF"/>
                <w:b/>
                <w:bCs/>
              </w:rPr>
              <w:t xml:space="preserve">Review Agents</w:t>
            </w:r>
          </w:p>
        </w:tc>
      </w:tr>
      <w:tr>
        <w:tc>
          <w:tcPr>
            <w:tcW w:w="0" w:type="auto"/>
          </w:tcPr>
          <w:p w:rsidR="551A4624" w:rsidRDefault="551A4624" w:rsidP="551A4624" w14:paraId="77675EB9" w14:textId="02EE92E3">
            <w:r w:rsidR="551A4624">
              <w:rPr>
                <w:sz w:val="18"/>
                <w:szCs w:val="18"/>
              </w:rPr>
              <w:t xml:space="preserve">Routine</w:t>
            </w:r>
          </w:p>
        </w:tc>
        <w:tc>
          <w:tcPr>
            <w:tcW w:w="0" w:type="auto"/>
          </w:tcPr>
          <w:p w:rsidR="551A4624" w:rsidRDefault="551A4624" w:rsidP="551A4624" w14:paraId="431D5961" w14:textId="7DA2ABDF">
            <w:r w:rsidR="551A4624">
              <w:rPr>
                <w:sz w:val="18"/>
                <w:szCs w:val="18"/>
              </w:rPr>
              <w:t xml:space="preserve">Internal notes, quick lookups</w:t>
            </w:r>
          </w:p>
        </w:tc>
        <w:tc>
          <w:tcPr>
            <w:tcW w:w="0" w:type="auto"/>
          </w:tcPr>
          <w:p w:rsidR="551A4624" w:rsidRDefault="551A4624" w:rsidP="551A4624" w14:paraId="22E0623C" w14:textId="55E5C8AD">
            <w:r w:rsidR="551A4624">
              <w:rPr>
                <w:sz w:val="18"/>
                <w:szCs w:val="18"/>
              </w:rPr>
              <w:t xml:space="preserve">Context-gatherer only</w:t>
            </w:r>
          </w:p>
        </w:tc>
        <w:tc>
          <w:tcPr>
            <w:tcW w:w="0" w:type="auto"/>
          </w:tcPr>
          <w:p w:rsidR="551A4624" w:rsidRDefault="551A4624" w:rsidP="551A4624" w14:paraId="748776F5" w14:textId="3B83D929">
            <w:r w:rsidR="551A4624"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w="0" w:type="auto"/>
          </w:tcPr>
          <w:p w:rsidR="551A4624" w:rsidRDefault="551A4624" w:rsidP="551A4624" w14:paraId="4FA266D5" w14:textId="0B0AFBB5">
            <w:r w:rsidR="551A4624">
              <w:rPr>
                <w:sz w:val="18"/>
                <w:szCs w:val="18"/>
              </w:rPr>
              <w:t xml:space="preserve">Standard</w:t>
            </w:r>
          </w:p>
        </w:tc>
        <w:tc>
          <w:tcPr>
            <w:tcW w:w="0" w:type="auto"/>
          </w:tcPr>
          <w:p w:rsidR="551A4624" w:rsidRDefault="551A4624" w:rsidP="551A4624" w14:paraId="50AE1541" w14:textId="4E5B7DC0">
            <w:r w:rsidR="551A4624">
              <w:rPr>
                <w:sz w:val="18"/>
                <w:szCs w:val="18"/>
              </w:rPr>
              <w:t xml:space="preserve">Team comms, standard lit reviews</w:t>
            </w:r>
          </w:p>
        </w:tc>
        <w:tc>
          <w:tcPr>
            <w:tcW w:w="0" w:type="auto"/>
          </w:tcPr>
          <w:p w:rsidR="551A4624" w:rsidRDefault="551A4624" w:rsidP="551A4624" w14:paraId="7E269163" w14:textId="19C08662">
            <w:r w:rsidR="551A4624">
              <w:rPr>
                <w:sz w:val="18"/>
                <w:szCs w:val="18"/>
              </w:rPr>
              <w:t xml:space="preserve">2-3 domain agents</w:t>
            </w:r>
          </w:p>
        </w:tc>
        <w:tc>
          <w:tcPr>
            <w:tcW w:w="0" w:type="auto"/>
          </w:tcPr>
          <w:p w:rsidR="551A4624" w:rsidRDefault="551A4624" w:rsidP="551A4624" w14:paraId="6B66B0D7" w14:textId="40C3F60C">
            <w:r w:rsidR="551A4624">
              <w:rPr>
                <w:sz w:val="18"/>
                <w:szCs w:val="18"/>
              </w:rPr>
              <w:t xml:space="preserve">2-3 (core + 1 domain)</w:t>
            </w:r>
          </w:p>
        </w:tc>
      </w:tr>
      <w:tr>
        <w:tc>
          <w:tcPr>
            <w:tcW w:w="0" w:type="auto"/>
          </w:tcPr>
          <w:p w:rsidR="551A4624" w:rsidRDefault="551A4624" w:rsidP="551A4624" w14:paraId="7335392E" w14:textId="030CEC9E">
            <w:r w:rsidR="551A4624">
              <w:rPr>
                <w:sz w:val="18"/>
                <w:szCs w:val="18"/>
              </w:rPr>
              <w:t xml:space="preserve">High-Stakes</w:t>
            </w:r>
          </w:p>
        </w:tc>
        <w:tc>
          <w:tcPr>
            <w:tcW w:w="0" w:type="auto"/>
          </w:tcPr>
          <w:p w:rsidR="551A4624" w:rsidRDefault="551A4624" w:rsidP="551A4624" w14:paraId="06006734" w14:textId="0336ADE7">
            <w:r w:rsidR="551A4624">
              <w:rPr>
                <w:sz w:val="18"/>
                <w:szCs w:val="18"/>
              </w:rPr>
              <w:t xml:space="preserve">HTA submissions, value dossiers, publication plans</w:t>
            </w:r>
          </w:p>
        </w:tc>
        <w:tc>
          <w:tcPr>
            <w:tcW w:w="0" w:type="auto"/>
          </w:tcPr>
          <w:p w:rsidR="551A4624" w:rsidRDefault="551A4624" w:rsidP="551A4624" w14:paraId="181FEE4D" w14:textId="65DC6783">
            <w:r w:rsidR="551A4624">
              <w:rPr>
                <w:sz w:val="18"/>
                <w:szCs w:val="18"/>
              </w:rPr>
              <w:t xml:space="preserve">Full domain roster</w:t>
            </w:r>
          </w:p>
        </w:tc>
        <w:tc>
          <w:tcPr>
            <w:tcW w:w="0" w:type="auto"/>
          </w:tcPr>
          <w:p w:rsidR="551A4624" w:rsidRDefault="551A4624" w:rsidP="551A4624" w14:paraId="1805953E" w14:textId="4F9BD72D">
            <w:r w:rsidR="551A4624">
              <w:rPr>
                <w:sz w:val="18"/>
                <w:szCs w:val="18"/>
              </w:rPr>
              <w:t xml:space="preserve">5-6 (core + domain)</w:t>
            </w:r>
          </w:p>
        </w:tc>
      </w:tr>
      <w:tr>
        <w:tc>
          <w:tcPr>
            <w:tcW w:w="0" w:type="auto"/>
          </w:tcPr>
          <w:p w:rsidR="551A4624" w:rsidRDefault="551A4624" w:rsidP="551A4624" w14:paraId="5B204848" w14:textId="0CE393DF">
            <w:r w:rsidR="551A4624">
              <w:rPr>
                <w:sz w:val="18"/>
                <w:szCs w:val="18"/>
              </w:rPr>
              <w:t xml:space="preserve">Board/Regulatory</w:t>
            </w:r>
          </w:p>
        </w:tc>
        <w:tc>
          <w:tcPr>
            <w:tcW w:w="0" w:type="auto"/>
          </w:tcPr>
          <w:p w:rsidR="551A4624" w:rsidRDefault="551A4624" w:rsidP="551A4624" w14:paraId="194D67B8" w14:textId="6FEEF394">
            <w:r w:rsidR="551A4624">
              <w:rPr>
                <w:sz w:val="18"/>
                <w:szCs w:val="18"/>
              </w:rPr>
              <w:t xml:space="preserve">AMCP dossiers, NICE submissions, regulatory docs</w:t>
            </w:r>
          </w:p>
        </w:tc>
        <w:tc>
          <w:tcPr>
            <w:tcW w:w="0" w:type="auto"/>
          </w:tcPr>
          <w:p w:rsidR="551A4624" w:rsidRDefault="551A4624" w:rsidP="551A4624" w14:paraId="382D9F5E" w14:textId="1BBEBAD2">
            <w:r w:rsidR="551A4624">
              <w:rPr>
                <w:sz w:val="18"/>
                <w:szCs w:val="18"/>
              </w:rPr>
              <w:t xml:space="preserve">All agents + constraints</w:t>
            </w:r>
          </w:p>
        </w:tc>
        <w:tc>
          <w:tcPr>
            <w:tcW w:w="0" w:type="auto"/>
          </w:tcPr>
          <w:p w:rsidR="551A4624" w:rsidRDefault="551A4624" w:rsidP="551A4624" w14:paraId="54A5FD31" w14:textId="7400E662">
            <w:r w:rsidR="551A4624">
              <w:rPr>
                <w:sz w:val="18"/>
                <w:szCs w:val="18"/>
              </w:rPr>
              <w:t xml:space="preserve">All 8 including stress tests</w:t>
            </w:r>
          </w:p>
        </w:tc>
      </w:tr>
    </w:tbl>
    <w:p w:rsidR="551A4624" w:rsidRDefault="551A4624" w:rsidP="551A4624" w14:paraId="37FA1751" w14:textId="5B331F26">
      <w:pPr>
        <w:spacing w:after="120" w:before="60"/>
      </w:pPr>
      <w:r w:rsidR="551A4624">
        <w:t xml:space="preserve"/>
      </w:r>
    </w:p>
    <w:p w:rsidR="551A4624" w:rsidRDefault="551A4624" w:rsidP="551A4624" w14:paraId="4BA1E052" w14:textId="7833E6B1">
      <w:pPr>
        <w:pStyle w:val="Heading2"/>
      </w:pPr>
      <w:r w:rsidR="551A4624">
        <w:t>9.10 Key Differences from Pharma/Biotech Plugin</w:t>
      </w:r>
    </w:p>
    <w:p w:rsidR="551A4624" w:rsidRDefault="551A4624" w:rsidP="551A4624" w14:paraId="12E68124" w14:textId="77FEA3F6">
      <w:pPr>
        <w:pStyle w:val="ListParagraph"/>
        <w:numPr>
          <w:ilvl w:val="0"/>
          <w:numId w:val="1"/>
        </w:numPr>
        <w:spacing w:after="60" w:before="60"/>
      </w:pPr>
      <w:r w:rsidR="551A4624">
        <w:rPr>
          <w:b/>
          <w:bCs/>
        </w:rPr>
        <w:t xml:space="preserve">Scientific Balance: </w:t>
      </w:r>
      <w:r w:rsidR="551A4624">
        <w:t xml:space="preserve">Non-promotional mandate: promotional-review-checker enforces fair balance and flags marketing language</w:t>
      </w:r>
    </w:p>
    <w:p w:rsidR="551A4624" w:rsidRDefault="551A4624" w:rsidP="551A4624" w14:paraId="1BA0C7A3" w14:textId="48BC14A7">
      <w:pPr>
        <w:pStyle w:val="ListParagraph"/>
        <w:numPr>
          <w:ilvl w:val="0"/>
          <w:numId w:val="1"/>
        </w:numPr>
        <w:spacing w:after="60" w:before="60"/>
      </w:pPr>
      <w:r w:rsidR="551A4624">
        <w:rPr>
          <w:b/>
          <w:bCs/>
        </w:rPr>
        <w:t xml:space="preserve">Evidence Grading: </w:t>
      </w:r>
      <w:r w:rsidR="551A4624">
        <w:t xml:space="preserve">Every claim must state its evidence level (1a through 5 + preprint)</w:t>
      </w:r>
    </w:p>
    <w:p w:rsidR="551A4624" w:rsidRDefault="551A4624" w:rsidP="551A4624" w14:paraId="2DA1ACD1" w14:textId="183612D8">
      <w:pPr>
        <w:pStyle w:val="ListParagraph"/>
        <w:numPr>
          <w:ilvl w:val="0"/>
          <w:numId w:val="1"/>
        </w:numPr>
        <w:spacing w:after="60" w:before="60"/>
      </w:pPr>
      <w:r w:rsidR="551A4624">
        <w:rPr>
          <w:b/>
          <w:bCs/>
        </w:rPr>
        <w:t xml:space="preserve">Compliance Layer: </w:t>
      </w:r>
      <w:r w:rsidR="551A4624">
        <w:t xml:space="preserve">GPP3, ICMJE, CHEERS, PRISMA compliance checked at every phase</w:t>
      </w:r>
    </w:p>
    <w:p w:rsidR="551A4624" w:rsidRDefault="551A4624" w:rsidP="551A4624" w14:paraId="31674359" w14:textId="7EE458F6">
      <w:pPr>
        <w:pStyle w:val="ListParagraph"/>
        <w:numPr>
          <w:ilvl w:val="0"/>
          <w:numId w:val="1"/>
        </w:numPr>
        <w:spacing w:after="60" w:before="60"/>
      </w:pPr>
      <w:r w:rsidR="551A4624">
        <w:rPr>
          <w:b/>
          <w:bCs/>
        </w:rPr>
        <w:t xml:space="preserve">Payer Intelligence: </w:t>
      </w:r>
      <w:r w:rsidR="551A4624">
        <w:t xml:space="preserve">HTA body requirements (NICE, G-BA, HAS, ICER) with specific thresholds</w:t>
      </w:r>
    </w:p>
    <w:p w:rsidR="551A4624" w:rsidRDefault="551A4624" w:rsidP="551A4624" w14:paraId="11BA6507" w14:textId="5FA39243">
      <w:pPr>
        <w:pStyle w:val="ListParagraph"/>
        <w:numPr>
          <w:ilvl w:val="0"/>
          <w:numId w:val="1"/>
        </w:numPr>
        <w:spacing w:after="60" w:before="60"/>
      </w:pPr>
      <w:r w:rsidR="551A4624">
        <w:rPr>
          <w:b/>
          <w:bCs/>
        </w:rPr>
        <w:t xml:space="preserve">Audience Shift: </w:t>
      </w:r>
      <w:r w:rsidR="551A4624">
        <w:t xml:space="preserve">Medical Affairs informs; it does not sell. All deliverables must be balanced.</w:t>
      </w:r>
    </w:p>
    <w:p w:rsidR="551A4624" w:rsidRDefault="551A4624" w:rsidP="551A4624" w14:paraId="5CF0E004" w14:textId="6CAFAA7D">
      <w:pPr>
        <w:pStyle w:val="Heading2"/>
      </w:pPr>
      <w:r w:rsidR="551A4624">
        <w:t>9.11 Installation</w:t>
      </w:r>
    </w:p>
    <w:p w:rsidR="551A4624" w:rsidRDefault="551A4624" w:rsidP="551A4624" w14:paraId="482C9604" w14:textId="787ECB49">
      <w:pPr>
        <w:spacing w:after="120" w:before="60"/>
      </w:pPr>
      <w:r w:rsidR="551A4624">
        <w:t xml:space="preserve">To use the Medical Affairs plugin with Claude Code:</w:t>
      </w:r>
    </w:p>
    <w:p w:rsidR="551A4624" w:rsidRDefault="551A4624" w:rsidP="551A4624" w14:paraId="527D57F1" w14:textId="1CAD5872">
      <w:pPr>
        <w:spacing w:after="120" w:before="120"/>
      </w:pPr>
      <w:r w:rsidR="551A4624">
        <w:rPr>
          <w:rFonts w:ascii="Courier New" w:cs="Courier New" w:eastAsia="Courier New" w:hAnsi="Courier New"/>
          <w:sz w:val="20"/>
          <w:szCs w:val="20"/>
        </w:rPr>
        <w:t xml:space="preserve">claude --plugin-dir /path/to/CoworkPowers-MedAffairs</w:t>
      </w:r>
    </w:p>
    <w:p w:rsidR="551A4624" w:rsidRDefault="551A4624" w:rsidP="551A4624" w14:paraId="58269226" w14:textId="1B908456">
      <w:pPr>
        <w:spacing w:after="120" w:before="60"/>
      </w:pPr>
      <w:r w:rsidR="551A4624">
        <w:t xml:space="preserve">Or navigate to the plugin directory and run Claude Code:</w:t>
      </w:r>
    </w:p>
    <w:p w:rsidR="551A4624" w:rsidRDefault="551A4624" w:rsidP="551A4624" w14:paraId="74207B98" w14:textId="0D85921A">
      <w:pPr>
        <w:spacing w:after="120" w:before="120"/>
      </w:pPr>
      <w:r w:rsidR="551A4624">
        <w:rPr>
          <w:rFonts w:ascii="Courier New" w:cs="Courier New" w:eastAsia="Courier New" w:hAnsi="Courier New"/>
          <w:sz w:val="20"/>
          <w:szCs w:val="20"/>
        </w:rPr>
        <w:t xml:space="preserve">cd /path/to/CoworkPowers-MedAffairs &amp;&amp; claude</w:t>
      </w:r>
    </w:p>
    <w:p w:rsidR="551A4624" w:rsidRDefault="551A4624" w:rsidP="551A4624" w14:paraId="7783B5A8" w14:textId="29C76291">
      <w:pPr>
        <w:spacing w:after="120" w:before="60"/>
      </w:pPr>
      <w:r w:rsidR="551A4624">
        <w:t xml:space="preserve">A zip archive (CoworkPowers-MedAffairs.zip) is also available for Cowork integration.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C8C8C"/>
        <w:sz w:val="16"/>
        <w:szCs w:val="16"/>
      </w:rPr>
      <w:t xml:space="preserve">Page </w:t>
    </w:r>
    <w:r>
      <w:rPr>
        <w:rFonts w:ascii="Arial" w:cs="Arial" w:eastAsia="Arial" w:hAnsi="Arial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C8C8C"/>
        <w:sz w:val="16"/>
        <w:szCs w:val="16"/>
      </w:rPr>
      <w:t xml:space="preserve"> of </w:t>
    </w:r>
    <w:r>
      <w:rPr>
        <w:rFonts w:ascii="Arial" w:cs="Arial" w:eastAsia="Arial" w:hAnsi="Arial"/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C8C8C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551A4624"/>
    <w:rsid w:val="551A4624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  <w:jc w:val="center"/>
    </w:pPr>
    <w:rPr>
      <w:rFonts w:ascii="Arial" w:cs="Arial" w:eastAsia="Arial" w:hAnsi="Arial"/>
      <w:b/>
      <w:bCs/>
      <w:color w:val="1B2A4A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BB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8A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microsoft.com/office/2011/relationships/people" Target="peop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2026-03-05T13:26:58.589Z</dcterms:created>
  <dcterms:modified xsi:type="dcterms:W3CDTF">2026-03-05T13:26:58.590Z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