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pBdr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pBdr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pBdr/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pBdr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pBdr/>
        <w:spacing w:lineRule="auto" w:line="240"/>
        <w:ind w:left="1800" w:firstLine="9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pBdr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pBdr/>
        <w:spacing w:lineRule="auto" w:line="240"/>
        <w:ind w:left="1800" w:firstLine="9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Bayesian multilevel regression</w:t>
        </w:r>
      </w:hyperlink>
      <w:r>
        <w:rPr>
          <w:rStyle w:val="InternetLink"/>
          <w:rFonts w:eastAsia="Times New Roman" w:cs="Times New Roman" w:ascii="Times New Roman" w:hAnsi="Times New Roman"/>
          <w:u w:val="none"/>
        </w:rPr>
        <w:t xml:space="preserve"> (</w:t>
      </w: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Stan)</w:t>
      </w:r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pBdr/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Data visualization</w:t>
        </w:r>
      </w:hyperlink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</w:rPr>
        <w:t>Psychiatric Rehabilitation Journal</w:t>
      </w:r>
      <w:r>
        <w:rPr>
          <w:rFonts w:cs="Times New Roman" w:ascii="Times New Roman" w:hAnsi="Times New Roman"/>
          <w:bCs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</w:rPr>
        <w:t xml:space="preserve">Rakhshan Rouhakhtar, </w:t>
      </w:r>
      <w:r>
        <w:rPr>
          <w:rFonts w:cs="Times New Roman" w:ascii="Times New Roman" w:hAnsi="Times New Roman"/>
          <w:bCs/>
        </w:rPr>
        <w:t xml:space="preserve">P., </w:t>
      </w:r>
      <w:r>
        <w:rPr>
          <w:rFonts w:cs="Times New Roman" w:ascii="Times New Roman" w:hAnsi="Times New Roman"/>
          <w:bCs/>
        </w:rPr>
        <w:t xml:space="preserve">Pitts, </w:t>
      </w:r>
      <w:r>
        <w:rPr>
          <w:rFonts w:cs="Times New Roman" w:ascii="Times New Roman" w:hAnsi="Times New Roman"/>
          <w:bCs/>
        </w:rPr>
        <w:t xml:space="preserve">S., </w:t>
      </w:r>
      <w:r>
        <w:rPr>
          <w:rFonts w:cs="Times New Roman" w:ascii="Times New Roman" w:hAnsi="Times New Roman"/>
          <w:bCs/>
        </w:rPr>
        <w:t xml:space="preserve">Millman, </w:t>
      </w:r>
      <w:r>
        <w:rPr>
          <w:rFonts w:cs="Times New Roman" w:ascii="Times New Roman" w:hAnsi="Times New Roman"/>
          <w:bCs/>
        </w:rPr>
        <w:t>Z.,</w:t>
      </w:r>
      <w:r>
        <w:rPr>
          <w:rFonts w:cs="Times New Roman" w:ascii="Times New Roman" w:hAnsi="Times New Roman"/>
          <w:bCs/>
        </w:rPr>
        <w:t xml:space="preserve"> Andorko, </w:t>
      </w:r>
      <w:r>
        <w:rPr>
          <w:rFonts w:cs="Times New Roman" w:ascii="Times New Roman" w:hAnsi="Times New Roman"/>
          <w:bCs/>
        </w:rPr>
        <w:t>N.,</w:t>
      </w:r>
      <w:r>
        <w:rPr>
          <w:rFonts w:cs="Times New Roman" w:ascii="Times New Roman" w:hAnsi="Times New Roman"/>
          <w:bCs/>
        </w:rPr>
        <w:t xml:space="preserve"> Redman, </w:t>
      </w:r>
      <w:r>
        <w:rPr>
          <w:rFonts w:cs="Times New Roman" w:ascii="Times New Roman" w:hAnsi="Times New Roman"/>
          <w:bCs/>
        </w:rPr>
        <w:t>S.,</w:t>
      </w:r>
      <w:r>
        <w:rPr>
          <w:rFonts w:cs="Times New Roman" w:ascii="Times New Roman" w:hAnsi="Times New Roman"/>
          <w:bCs/>
        </w:rPr>
        <w:t xml:space="preserve"> Wilson, </w:t>
      </w:r>
      <w:r>
        <w:rPr>
          <w:rFonts w:cs="Times New Roman" w:ascii="Times New Roman" w:hAnsi="Times New Roman"/>
          <w:bCs/>
        </w:rPr>
        <w:t>C.,</w:t>
      </w:r>
      <w:r>
        <w:rPr>
          <w:rFonts w:cs="Times New Roman" w:ascii="Times New Roman" w:hAnsi="Times New Roman"/>
          <w:bCs/>
        </w:rPr>
        <w:t xml:space="preserve"> Demr</w:t>
      </w:r>
      <w:r>
        <w:rPr>
          <w:rFonts w:cs="Times New Roman" w:ascii="Times New Roman" w:hAnsi="Times New Roman"/>
          <w:bCs/>
        </w:rPr>
        <w:t>o, C.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/>
          <w:bCs/>
        </w:rPr>
        <w:t xml:space="preserve">Phalen, </w:t>
      </w:r>
      <w:r>
        <w:rPr>
          <w:rFonts w:cs="Times New Roman" w:ascii="Times New Roman" w:hAnsi="Times New Roman"/>
          <w:b/>
          <w:bCs/>
        </w:rPr>
        <w:t>P.</w:t>
      </w:r>
      <w:r>
        <w:rPr>
          <w:rFonts w:cs="Times New Roman" w:ascii="Times New Roman" w:hAnsi="Times New Roman"/>
          <w:bCs/>
        </w:rPr>
        <w:t>,</w:t>
      </w:r>
      <w:r>
        <w:rPr>
          <w:rFonts w:cs="Times New Roman" w:ascii="Times New Roman" w:hAnsi="Times New Roman"/>
          <w:bCs/>
        </w:rPr>
        <w:t xml:space="preserve"> Walsh, </w:t>
      </w:r>
      <w:r>
        <w:rPr>
          <w:rFonts w:cs="Times New Roman" w:ascii="Times New Roman" w:hAnsi="Times New Roman"/>
          <w:bCs/>
        </w:rPr>
        <w:t xml:space="preserve">B., </w:t>
      </w:r>
      <w:r>
        <w:rPr>
          <w:rFonts w:cs="Times New Roman" w:ascii="Times New Roman" w:hAnsi="Times New Roman"/>
          <w:bCs/>
        </w:rPr>
        <w:t xml:space="preserve">Woods, </w:t>
      </w:r>
      <w:r>
        <w:rPr>
          <w:rFonts w:cs="Times New Roman" w:ascii="Times New Roman" w:hAnsi="Times New Roman"/>
          <w:bCs/>
        </w:rPr>
        <w:t xml:space="preserve">S., </w:t>
      </w:r>
      <w:r>
        <w:rPr>
          <w:rFonts w:cs="Times New Roman" w:ascii="Times New Roman" w:hAnsi="Times New Roman"/>
          <w:bCs/>
        </w:rPr>
        <w:t xml:space="preserve">Reeves, </w:t>
      </w:r>
      <w:r>
        <w:rPr>
          <w:rFonts w:cs="Times New Roman" w:ascii="Times New Roman" w:hAnsi="Times New Roman"/>
          <w:bCs/>
        </w:rPr>
        <w:t xml:space="preserve">G., </w:t>
      </w:r>
      <w:r>
        <w:rPr>
          <w:rFonts w:cs="Times New Roman" w:ascii="Times New Roman" w:hAnsi="Times New Roman"/>
          <w:bCs/>
        </w:rPr>
        <w:t xml:space="preserve">and Schiffman, </w:t>
      </w:r>
      <w:r>
        <w:rPr>
          <w:rFonts w:cs="Times New Roman" w:ascii="Times New Roman" w:hAnsi="Times New Roman"/>
          <w:bCs/>
        </w:rPr>
        <w:t>J.</w:t>
      </w: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</w:rPr>
        <w:t>(in press).</w:t>
      </w:r>
      <w:r>
        <w:rPr>
          <w:rFonts w:cs="Times New Roman" w:ascii="Times New Roman" w:hAnsi="Times New Roman"/>
          <w:bCs/>
        </w:rPr>
        <w:t xml:space="preserve">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(in press).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>Molecular Psychiatry.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0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ＭＳ 明朝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hyperlink r:id="rId11">
        <w:r>
          <w:rPr>
            <w:rStyle w:val="InternetLink"/>
            <w:rFonts w:eastAsia="Times New Roman"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pBdr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2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to be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to be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pBdr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pBdr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pBdr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pBdr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pBdr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pBdr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pBdr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pBdr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pBdr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pBdr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pBdr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4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pBdr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footerReference w:type="default" r:id="rId16"/>
      <w:type w:val="nextPage"/>
      <w:pgSz w:w="12240" w:h="15840"/>
      <w:pgMar w:left="1152" w:right="1152" w:header="720" w:top="990" w:footer="826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righ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5775" cy="1606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577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8.25pt;height:12.65pt;mso-wrap-distance-left:0pt;mso-wrap-distance-right:0pt;mso-wrap-distance-top:0pt;mso-wrap-distance-bottom:0pt;margin-top:-2.65pt;mso-position-vertical-relative:text;margin-left:516.6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joshbegley.dronestream" TargetMode="External"/><Relationship Id="rId3" Type="http://schemas.openxmlformats.org/officeDocument/2006/relationships/hyperlink" Target="https://play.google.com/store/apps/details?id=phalen.peter.archives" TargetMode="External"/><Relationship Id="rId4" Type="http://schemas.openxmlformats.org/officeDocument/2006/relationships/hyperlink" Target="https://play.google.com/store/apps/details?id=com.peter.breadcrumbs" TargetMode="External"/><Relationship Id="rId5" Type="http://schemas.openxmlformats.org/officeDocument/2006/relationships/hyperlink" Target="https://chrome.google.com/webstore/detail/humanize/ckgiiaehnngpfmcnjmlmpedkkfnedmil" TargetMode="External"/><Relationship Id="rId6" Type="http://schemas.openxmlformats.org/officeDocument/2006/relationships/hyperlink" Target="https://github.com/peterphalen/peterphalen.github.io" TargetMode="External"/><Relationship Id="rId7" Type="http://schemas.openxmlformats.org/officeDocument/2006/relationships/hyperlink" Target="https://github.com/peterphalen/code-for-publications/tree/master/Phalen-Ray-Watson-Huynh-Greene" TargetMode="External"/><Relationship Id="rId8" Type="http://schemas.openxmlformats.org/officeDocument/2006/relationships/hyperlink" Target="https://github.com/peterphalen/code-for-publications/tree/master/Phalen-2017" TargetMode="External"/><Relationship Id="rId9" Type="http://schemas.openxmlformats.org/officeDocument/2006/relationships/hyperlink" Target="https://www.peterphalen.com/datavisualization/" TargetMode="External"/><Relationship Id="rId10" Type="http://schemas.openxmlformats.org/officeDocument/2006/relationships/hyperlink" Target="https://github.com/peterphalen/code-for-publications/" TargetMode="External"/><Relationship Id="rId11" Type="http://schemas.openxmlformats.org/officeDocument/2006/relationships/hyperlink" Target="https://github.com/peterphalen/code-for-publications/" TargetMode="External"/><Relationship Id="rId12" Type="http://schemas.openxmlformats.org/officeDocument/2006/relationships/hyperlink" Target="http://www.humanosphere.org/2013/09/psychiatrists-and-traditional-healers-in-west-africa-an-unlikely-alliance/" TargetMode="External"/><Relationship Id="rId13" Type="http://schemas.openxmlformats.org/officeDocument/2006/relationships/hyperlink" Target="http://www.humanosphere.org/2013/10/guinea-hospital-shows-west-how-to-treat-mental-illness-without-chains/" TargetMode="External"/><Relationship Id="rId14" Type="http://schemas.openxmlformats.org/officeDocument/2006/relationships/hyperlink" Target="https://www.gutenberg.org/ebooks/34544" TargetMode="External"/><Relationship Id="rId15" Type="http://schemas.openxmlformats.org/officeDocument/2006/relationships/hyperlink" Target="https://www.gutenberg.org/ebooks/30123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LibreOffice/6.2.0.3$MacOSX_X86_64 LibreOffice_project/98c6a8a1c6c7b144ce3cc729e34964b47ce25d62</Application>
  <Pages>6</Pages>
  <Words>1798</Words>
  <Characters>12018</Characters>
  <CharactersWithSpaces>13834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2019-02-11T18:40:53Z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