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23A7AFF8" w:rsidR="009A5BAB" w:rsidRDefault="009A5BAB" w:rsidP="00EC761F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r>
        <w:fldChar w:fldCharType="begin"/>
      </w:r>
      <w:r w:rsidR="004D287E">
        <w:instrText>HYPERLINK "https://oup.silverchair-cdn.com/oup/backfile/Content_public/Journal/schizophreniabulletin/51/3/10.1093_schbul_sbae100/1/sbae100_suppl_supplementary_data.html?Expires=1761733146&amp;Signature=4~7jxGjFQVDjWAWlzoK6qK8AmAscH7c5KhHJ-HPUmUXNnJZjTW9rNGVFZc752PEdubWqdKtEEFpRKXTrEsM-~Bu9z8z3Aj3-KjkdeyHjM9asKkW3Z45Nc2jRAQMhOKd5hldJDVN0X9aLWZBlcLQAxSoTMG7xpwPv5re8QLcj8czDMQPmHA45vnsO83OZEvTAnmfP0sRmpoY0iIzyPhD8VKTRjlzK5U2yuN98ECxHC-H131oIvzFcGIwixRMY77hn4lwDjyTG3k-pgz4AgL06F4q5KVHqh78OCQPQoH104WfBE~2tNiTJABPbyIb0Zwo3bd~3LV9QNFfP8iSoWJNgCg__&amp;Key-Pair-Id=APKAIE5G5CRDK6RD3PGA"</w:instrText>
      </w:r>
      <w:r>
        <w:fldChar w:fldCharType="separate"/>
      </w:r>
      <w:r w:rsidRPr="009A5BAB">
        <w:rPr>
          <w:rStyle w:val="Hyperlink"/>
          <w:rFonts w:ascii="Times New Roman" w:eastAsia="Times New Roman" w:hAnsi="Times New Roman" w:cs="Times New Roman"/>
        </w:rPr>
        <w:t>Clinical service evaluation</w:t>
      </w:r>
      <w:r>
        <w:fldChar w:fldCharType="end"/>
      </w:r>
      <w:r w:rsidR="00EC761F" w:rsidRPr="00EC761F">
        <w:rPr>
          <w:rFonts w:ascii="Times New Roman" w:hAnsi="Times New Roman" w:cs="Times New Roman"/>
        </w:rPr>
        <w:t xml:space="preserve"> </w:t>
      </w:r>
      <w:r w:rsidR="00EC761F">
        <w:rPr>
          <w:rFonts w:ascii="Times New Roman" w:hAnsi="Times New Roman" w:cs="Times New Roman"/>
        </w:rPr>
        <w:t>–</w:t>
      </w:r>
      <w:r w:rsidR="00EC761F" w:rsidRPr="00EC761F">
        <w:rPr>
          <w:rFonts w:ascii="Times New Roman" w:hAnsi="Times New Roman" w:cs="Times New Roman"/>
        </w:rPr>
        <w:t xml:space="preserve"> </w:t>
      </w:r>
      <w:hyperlink r:id="rId11" w:history="1">
        <w:r w:rsidR="00EC761F" w:rsidRPr="00EC761F">
          <w:rPr>
            <w:rStyle w:val="Hyperlink"/>
            <w:rFonts w:ascii="Times New Roman" w:hAnsi="Times New Roman" w:cs="Times New Roman"/>
          </w:rPr>
          <w:t>associated paper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F9CA7B5" w14:textId="61C64565" w:rsidR="005132A4" w:rsidRPr="005132A4" w:rsidRDefault="005132A4" w:rsidP="005132A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132A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132A4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Fox, K., Yusuf, A., Hochheiser, H., Jones, N.,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Fetisova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Hackman, A., Bennett, M. </w:t>
      </w:r>
      <w:r w:rsidR="00947CFE">
        <w:rPr>
          <w:rFonts w:ascii="Times New Roman" w:eastAsia="Times New Roman" w:hAnsi="Times New Roman" w:cs="Times New Roman"/>
          <w:color w:val="auto"/>
        </w:rPr>
        <w:t>(in press).</w:t>
      </w:r>
      <w:r w:rsidR="00947CFE" w:rsidRPr="005132A4">
        <w:rPr>
          <w:rFonts w:ascii="Times New Roman" w:eastAsia="Times New Roman" w:hAnsi="Times New Roman" w:cs="Times New Roman"/>
          <w:color w:val="auto"/>
        </w:rPr>
        <w:t xml:space="preserve"> </w:t>
      </w:r>
      <w:r w:rsidRPr="005132A4">
        <w:rPr>
          <w:rFonts w:ascii="Times New Roman" w:eastAsia="Times New Roman" w:hAnsi="Times New Roman" w:cs="Times New Roman"/>
          <w:color w:val="auto"/>
        </w:rPr>
        <w:t>Pilot of Dialectical Behavior Therapy (DBT) Skills Training for People with Psychosis Spectrum Conditions and High Risk of Suicide.</w:t>
      </w:r>
      <w:r w:rsidR="00947CFE">
        <w:rPr>
          <w:rFonts w:ascii="Times New Roman" w:eastAsia="Times New Roman" w:hAnsi="Times New Roman" w:cs="Times New Roman"/>
          <w:color w:val="auto"/>
        </w:rPr>
        <w:t xml:space="preserve"> </w:t>
      </w:r>
      <w:r w:rsidRPr="005132A4">
        <w:rPr>
          <w:rFonts w:ascii="Times New Roman" w:eastAsia="Times New Roman" w:hAnsi="Times New Roman" w:cs="Times New Roman"/>
          <w:i/>
          <w:iCs/>
          <w:color w:val="auto"/>
        </w:rPr>
        <w:t>Psychosis</w:t>
      </w:r>
      <w:r w:rsidRPr="005132A4">
        <w:rPr>
          <w:rFonts w:ascii="Times New Roman" w:eastAsia="Times New Roman" w:hAnsi="Times New Roman" w:cs="Times New Roman"/>
          <w:color w:val="auto"/>
        </w:rPr>
        <w:t>.</w:t>
      </w:r>
    </w:p>
    <w:p w14:paraId="19ACCF9C" w14:textId="77777777" w:rsidR="005132A4" w:rsidRDefault="005132A4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F33C8E" w14:textId="77DAA304" w:rsidR="00491FF6" w:rsidRP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Kacmarek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C.N., Smith, H.C.,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A., Li, L., Wilkins, L. Coakley, G., </w:t>
      </w:r>
      <w:r w:rsidRPr="00491FF6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491FF6">
        <w:rPr>
          <w:rFonts w:ascii="Times New Roman" w:eastAsia="Times New Roman" w:hAnsi="Times New Roman" w:cs="Times New Roman"/>
          <w:color w:val="auto"/>
        </w:rPr>
        <w:t xml:space="preserve"> Medoff, D., Dickerson, F., Kreyenbuhl, J., &amp; Bennett, M.E. (in press). Efficacy, acceptability and feasibility of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StayQuit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 for sustaining smoking abstinence after psychiatric hospitalization. </w:t>
      </w:r>
      <w:r w:rsidRPr="00491FF6">
        <w:rPr>
          <w:rFonts w:ascii="Times New Roman" w:eastAsia="Times New Roman" w:hAnsi="Times New Roman" w:cs="Times New Roman"/>
          <w:i/>
          <w:iCs/>
          <w:color w:val="auto"/>
        </w:rPr>
        <w:t>Journal of Patient Centered Research and Reviews</w:t>
      </w:r>
      <w:r w:rsidRPr="00491FF6">
        <w:rPr>
          <w:rFonts w:ascii="Times New Roman" w:eastAsia="Times New Roman" w:hAnsi="Times New Roman" w:cs="Times New Roman"/>
          <w:color w:val="auto"/>
        </w:rPr>
        <w:t>.</w:t>
      </w:r>
    </w:p>
    <w:p w14:paraId="48FA53ED" w14:textId="77777777" w:rsid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C493ED8" w14:textId="1F66E20A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Kreyenbuhl,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lastRenderedPageBreak/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lastRenderedPageBreak/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313323F7" w14:textId="76260B48" w:rsidR="0008721A" w:rsidRPr="008A359F" w:rsidRDefault="00032FB3" w:rsidP="008A359F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0EEE383" w14:textId="77777777" w:rsidR="0008721A" w:rsidRDefault="0008721A" w:rsidP="00533C7A"/>
    <w:p w14:paraId="2C722942" w14:textId="77777777" w:rsidR="00B046B9" w:rsidRDefault="00B046B9" w:rsidP="00533C7A"/>
    <w:p w14:paraId="15F12E49" w14:textId="77777777" w:rsidR="00B046B9" w:rsidRPr="00533C7A" w:rsidRDefault="00B046B9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57AD242" w14:textId="77777777" w:rsidR="005D320C" w:rsidRPr="005D320C" w:rsidRDefault="005D320C" w:rsidP="008B4344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AF349EF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., Driscoll, S.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Antipsychotic use patterns and outcomes in a national network of early psychosis intervention clinics (EPINET).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268210D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FC8D7A7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, C., Kreyenbuhl, J., Marsteller, J., Goldberg, G.,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Development of a novel early psychosis discharge and transition navigation intervention across a multi-state hub.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705D2BE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572C241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C., Driscoll, S.,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2025).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 critical assessment of the implementation of a common assessment battery across a large network of early psychosis programs in the US.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0E92FB6D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7C446D6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S., Phalen, P., Bennett, M., Jones, N.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Investigating the impact of service user versus clinician conceptualizations of psychosis-related phenomenology on (dis)engagement.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FDE4918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DA71741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The View from Outside versus Experience Itself: Questioning a Paradigm in the Conceptualization of Psychosis.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E33E3EA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7BB76E8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McNemar,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Driscoll, S.,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025). “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Breaking boundaries” through embedded co-design and co-production across a disengagement-themed early psychosis learning healthcare system in the United States.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1E6B5D1" w14:textId="77777777" w:rsidR="008B4344" w:rsidRDefault="008B4344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0862D088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</w:t>
      </w:r>
      <w:proofErr w:type="spellStart"/>
      <w:r w:rsidRPr="00E57C00">
        <w:rPr>
          <w:rFonts w:ascii="Times New Roman" w:eastAsia="Times New Roman" w:hAnsi="Times New Roman" w:cs="Times New Roman"/>
          <w:bCs/>
          <w:color w:val="222222"/>
        </w:rPr>
        <w:t>Lucksted</w:t>
      </w:r>
      <w:proofErr w:type="spell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A., Hochheiser, J., </w:t>
      </w:r>
      <w:proofErr w:type="gramStart"/>
      <w:r w:rsidRPr="00E57C00">
        <w:rPr>
          <w:rFonts w:ascii="Times New Roman" w:eastAsia="Times New Roman" w:hAnsi="Times New Roman" w:cs="Times New Roman"/>
          <w:bCs/>
          <w:color w:val="222222"/>
        </w:rPr>
        <w:t>Yusuf,  A.</w:t>
      </w:r>
      <w:proofErr w:type="gram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Preliminary data on a </w:t>
      </w:r>
      <w:proofErr w:type="spellStart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prepilot</w:t>
      </w:r>
      <w:proofErr w:type="spellEnd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6BB24E9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="0010742D">
        <w:rPr>
          <w:rFonts w:ascii="Times New Roman" w:eastAsia="Times New Roman" w:hAnsi="Times New Roman" w:cs="Times New Roman"/>
          <w:color w:val="222222"/>
        </w:rPr>
        <w:t>(</w:t>
      </w:r>
      <w:proofErr w:type="gramStart"/>
      <w:r w:rsidR="00431076">
        <w:rPr>
          <w:rFonts w:ascii="Times New Roman" w:eastAsia="Times New Roman" w:hAnsi="Times New Roman" w:cs="Times New Roman"/>
          <w:color w:val="222222"/>
        </w:rPr>
        <w:t>June,</w:t>
      </w:r>
      <w:proofErr w:type="gramEnd"/>
      <w:r w:rsidR="00431076">
        <w:rPr>
          <w:rFonts w:ascii="Times New Roman" w:eastAsia="Times New Roman" w:hAnsi="Times New Roman" w:cs="Times New Roman"/>
          <w:color w:val="222222"/>
        </w:rPr>
        <w:t xml:space="preserve"> </w:t>
      </w:r>
      <w:r w:rsidR="0010742D">
        <w:rPr>
          <w:rFonts w:ascii="Times New Roman" w:eastAsia="Times New Roman" w:hAnsi="Times New Roman" w:cs="Times New Roman"/>
          <w:color w:val="222222"/>
        </w:rPr>
        <w:t xml:space="preserve">2025).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12739D55" w14:textId="6A28CB47" w:rsidR="00431076" w:rsidRP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Boumaiz, Y., </w:t>
      </w:r>
      <w:r w:rsidRPr="00431076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Warman, D., Martin, J. (</w:t>
      </w:r>
      <w:proofErr w:type="gramStart"/>
      <w:r w:rsidRPr="00431076">
        <w:rPr>
          <w:rFonts w:ascii="Times New Roman" w:eastAsia="Times New Roman" w:hAnsi="Times New Roman" w:cs="Times New Roman"/>
          <w:bCs/>
          <w:color w:val="222222"/>
        </w:rPr>
        <w:t>June,</w:t>
      </w:r>
      <w:proofErr w:type="gramEnd"/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EA6A93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Distinguishing religious and spiritual beliefs from psychosis-like experiences. </w:t>
      </w:r>
      <w:r w:rsidRPr="00431076">
        <w:rPr>
          <w:rFonts w:ascii="Times New Roman" w:eastAsia="Times New Roman" w:hAnsi="Times New Roman" w:cs="Times New Roman"/>
          <w:bCs/>
          <w:color w:val="222222"/>
        </w:rPr>
        <w:t>University of Maryland Research Day. Baltimore, MD.</w:t>
      </w:r>
    </w:p>
    <w:p w14:paraId="3342F9C5" w14:textId="77777777" w:rsid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relationship between level-of-contact with mental illness and stigmatization of voice-hearing experiences depends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42B372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3C3E4C95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2F55847D" w14:textId="5168518E" w:rsidR="007E3557" w:rsidRPr="00A52826" w:rsidRDefault="00032FB3" w:rsidP="00A52826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773A1" w14:textId="77777777" w:rsidR="00511D2A" w:rsidRDefault="00511D2A">
      <w:pPr>
        <w:spacing w:line="240" w:lineRule="auto"/>
      </w:pPr>
      <w:r>
        <w:separator/>
      </w:r>
    </w:p>
  </w:endnote>
  <w:endnote w:type="continuationSeparator" w:id="0">
    <w:p w14:paraId="1210558B" w14:textId="77777777" w:rsidR="00511D2A" w:rsidRDefault="00511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23E48DFC" w:rsidR="007D5C67" w:rsidRDefault="003471A1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09A92706">
              <wp:simplePos x="0" y="0"/>
              <wp:positionH relativeFrom="page">
                <wp:posOffset>6434051</wp:posOffset>
              </wp:positionH>
              <wp:positionV relativeFrom="paragraph">
                <wp:posOffset>-31346</wp:posOffset>
              </wp:positionV>
              <wp:extent cx="619125" cy="216131"/>
              <wp:effectExtent l="0" t="0" r="3175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125" cy="2161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06.6pt;margin-top:-2.45pt;width:48.75pt;height:17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" filled="f" stroked="f">
              <v:textbox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EF6886"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080278B6">
              <wp:simplePos x="0" y="0"/>
              <wp:positionH relativeFrom="page">
                <wp:posOffset>6001385</wp:posOffset>
              </wp:positionH>
              <wp:positionV relativeFrom="paragraph">
                <wp:posOffset>67945</wp:posOffset>
              </wp:positionV>
              <wp:extent cx="1050925" cy="22733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092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776904" id="Frame1" o:spid="_x0000_s1026" style="position:absolute;margin-left:472.55pt;margin-top:5.35pt;width:82.75pt;height:17.9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" filled="f" stroked="f">
              <w10:wrap type="square" side="largest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E5B15" w14:textId="77777777" w:rsidR="00511D2A" w:rsidRDefault="00511D2A">
      <w:pPr>
        <w:spacing w:line="240" w:lineRule="auto"/>
      </w:pPr>
      <w:r>
        <w:separator/>
      </w:r>
    </w:p>
  </w:footnote>
  <w:footnote w:type="continuationSeparator" w:id="0">
    <w:p w14:paraId="790780B1" w14:textId="77777777" w:rsidR="00511D2A" w:rsidRDefault="00511D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42D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95B6A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471A1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96225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1076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1FF6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287E"/>
    <w:rsid w:val="004D6DE7"/>
    <w:rsid w:val="004E57DA"/>
    <w:rsid w:val="004E63CA"/>
    <w:rsid w:val="004E763B"/>
    <w:rsid w:val="004F60F6"/>
    <w:rsid w:val="0050662E"/>
    <w:rsid w:val="00511D2A"/>
    <w:rsid w:val="005132A4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D320C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0FBF"/>
    <w:rsid w:val="006D17AE"/>
    <w:rsid w:val="006E0C59"/>
    <w:rsid w:val="006E482E"/>
    <w:rsid w:val="006E50F8"/>
    <w:rsid w:val="006E5811"/>
    <w:rsid w:val="006E58CB"/>
    <w:rsid w:val="006F19E4"/>
    <w:rsid w:val="006F5CCF"/>
    <w:rsid w:val="006F7A8E"/>
    <w:rsid w:val="00703B4F"/>
    <w:rsid w:val="00711D0D"/>
    <w:rsid w:val="00717CB3"/>
    <w:rsid w:val="00723B48"/>
    <w:rsid w:val="0073265C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359F"/>
    <w:rsid w:val="008A673D"/>
    <w:rsid w:val="008A6EEF"/>
    <w:rsid w:val="008A7F57"/>
    <w:rsid w:val="008B3294"/>
    <w:rsid w:val="008B4344"/>
    <w:rsid w:val="008B45E1"/>
    <w:rsid w:val="008B6ADD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47CFE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2826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046B9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1D39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13E2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3646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754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A6A93"/>
    <w:rsid w:val="00EB13A8"/>
    <w:rsid w:val="00EB1E95"/>
    <w:rsid w:val="00EC066B"/>
    <w:rsid w:val="00EC2DC9"/>
    <w:rsid w:val="00EC348C"/>
    <w:rsid w:val="00EC63C2"/>
    <w:rsid w:val="00EC761F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023B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terphalen.github.io/publications/2024_reasons_discharge_EPINET_phalen.pdf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6139</Words>
  <Characters>34996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4</cp:revision>
  <cp:lastPrinted>2025-09-24T13:46:00Z</cp:lastPrinted>
  <dcterms:created xsi:type="dcterms:W3CDTF">2025-09-26T13:53:00Z</dcterms:created>
  <dcterms:modified xsi:type="dcterms:W3CDTF">2025-09-26T15:58:00Z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