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Negative binomial regression of excess significant results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14.059 (19.254)</w:t>
            </w:r>
          </w:p>
        </w:tc>
        <w:tc>
          <w:p>
            <w:pPr>
              <w:pStyle w:val="Normal"/>
              <w:jc w:val="center"/>
            </w:pPr>
            <w:r>
              <w:t>5.677 (20.390)</w:t>
            </w:r>
          </w:p>
        </w:tc>
        <w:tc>
          <w:p>
            <w:pPr>
              <w:pStyle w:val="Normal"/>
              <w:jc w:val="center"/>
            </w:pPr>
            <w:r>
              <w:t>59.040** (29.397)</w:t>
            </w:r>
          </w:p>
        </w:tc>
        <w:tc>
          <w:p>
            <w:pPr>
              <w:pStyle w:val="Normal"/>
              <w:jc w:val="center"/>
            </w:pPr>
            <w:r>
              <w:t>37.195 (28.853)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-0.016*** (0.001)</w:t>
            </w:r>
          </w:p>
        </w:tc>
        <w:tc>
          <w:p>
            <w:pPr>
              <w:pStyle w:val="Normal"/>
              <w:jc w:val="center"/>
            </w:pPr>
            <w:r>
              <w:t>-0.015***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0.127*** (0.047)</w:t>
            </w:r>
          </w:p>
        </w:tc>
        <w:tc>
          <w:p>
            <w:pPr>
              <w:pStyle w:val="Normal"/>
              <w:jc w:val="center"/>
            </w:pPr>
            <w:r>
              <w:t>0.089* (0.050)</w:t>
            </w:r>
          </w:p>
        </w:tc>
        <w:tc>
          <w:p>
            <w:pPr>
              <w:pStyle w:val="Normal"/>
              <w:jc w:val="center"/>
            </w:pPr>
            <w:r>
              <w:t>0.165* (0.087)</w:t>
            </w:r>
          </w:p>
        </w:tc>
        <w:tc>
          <w:p>
            <w:pPr>
              <w:pStyle w:val="Normal"/>
              <w:jc w:val="center"/>
            </w:pPr>
            <w:r>
              <w:t>0.080 (0.080)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0.071 (0.046)</w:t>
            </w:r>
          </w:p>
        </w:tc>
        <w:tc>
          <w:p>
            <w:pPr>
              <w:pStyle w:val="Normal"/>
              <w:jc w:val="center"/>
            </w:pPr>
            <w:r>
              <w:t>0.087 (0.056)</w:t>
            </w:r>
          </w:p>
        </w:tc>
        <w:tc>
          <w:p>
            <w:pPr>
              <w:pStyle w:val="Normal"/>
              <w:jc w:val="center"/>
            </w:pPr>
            <w:r>
              <w:t>0.128 (0.121)</w:t>
            </w:r>
          </w:p>
        </w:tc>
        <w:tc>
          <w:p>
            <w:pPr>
              <w:pStyle w:val="Normal"/>
              <w:jc w:val="center"/>
            </w:pPr>
            <w:r>
              <w:t>0.143 (0.091)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-0.089* (0.051)</w:t>
            </w:r>
          </w:p>
        </w:tc>
        <w:tc>
          <w:p>
            <w:pPr>
              <w:pStyle w:val="Normal"/>
              <w:jc w:val="center"/>
            </w:pPr>
            <w:r>
              <w:t>-0.124** (0.056)</w:t>
            </w:r>
          </w:p>
        </w:tc>
        <w:tc>
          <w:p>
            <w:pPr>
              <w:pStyle w:val="Normal"/>
              <w:jc w:val="center"/>
            </w:pPr>
            <w:r>
              <w:t>0.016 (0.083)</w:t>
            </w:r>
          </w:p>
        </w:tc>
        <w:tc>
          <w:p>
            <w:pPr>
              <w:pStyle w:val="Normal"/>
              <w:jc w:val="center"/>
            </w:pPr>
            <w:r>
              <w:t>-0.055 (0.084)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-0.020 (0.024)</w:t>
            </w:r>
          </w:p>
        </w:tc>
        <w:tc>
          <w:p>
            <w:pPr>
              <w:pStyle w:val="Normal"/>
              <w:jc w:val="center"/>
            </w:pPr>
            <w:r>
              <w:t>-0.009 (0.027)</w:t>
            </w:r>
          </w:p>
        </w:tc>
        <w:tc>
          <w:p>
            <w:pPr>
              <w:pStyle w:val="Normal"/>
              <w:jc w:val="center"/>
            </w:pPr>
            <w:r>
              <w:t>-0.185*** (0.050)</w:t>
            </w:r>
          </w:p>
        </w:tc>
        <w:tc>
          <w:p>
            <w:pPr>
              <w:pStyle w:val="Normal"/>
              <w:jc w:val="center"/>
            </w:pPr>
            <w:r>
              <w:t>-0.151*** (0.040)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0.005 (0.048)</w:t>
            </w:r>
          </w:p>
        </w:tc>
        <w:tc>
          <w:p>
            <w:pPr>
              <w:pStyle w:val="Normal"/>
              <w:jc w:val="center"/>
            </w:pPr>
            <w:r>
              <w:t>0.007 (0.046)</w:t>
            </w:r>
          </w:p>
        </w:tc>
        <w:tc>
          <w:p>
            <w:pPr>
              <w:pStyle w:val="Normal"/>
              <w:jc w:val="center"/>
            </w:pPr>
            <w:r>
              <w:t>-0.035 (0.067)</w:t>
            </w:r>
          </w:p>
        </w:tc>
        <w:tc>
          <w:p>
            <w:pPr>
              <w:pStyle w:val="Normal"/>
              <w:jc w:val="center"/>
            </w:pPr>
            <w:r>
              <w:t>-0.013 (0.063)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-0.007 (0.010)</w:t>
            </w:r>
          </w:p>
        </w:tc>
        <w:tc>
          <w:p>
            <w:pPr>
              <w:pStyle w:val="Normal"/>
              <w:jc w:val="center"/>
            </w:pPr>
            <w:r>
              <w:t>-0.003 (0.010)</w:t>
            </w:r>
          </w:p>
        </w:tc>
        <w:tc>
          <w:p>
            <w:pPr>
              <w:pStyle w:val="Normal"/>
              <w:jc w:val="center"/>
            </w:pPr>
            <w:r>
              <w:t>-0.029** (0.015)</w:t>
            </w:r>
          </w:p>
        </w:tc>
        <w:tc>
          <w:p>
            <w:pPr>
              <w:pStyle w:val="Normal"/>
              <w:jc w:val="center"/>
            </w:pPr>
            <w:r>
              <w:t>-0.019 (0.014)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-0.115** (0.058)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-0.243** (0.095)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-0.134 (0.090)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-0.410*** (0.118)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-0.220* (0.117)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-0.374*** (0.121)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0.108* (0.063)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0.293* (0.151)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-0.083* (0.048)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-0.085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-0.126 (0.115)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-0.209 (0.131)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3135.7</w:t>
            </w:r>
          </w:p>
        </w:tc>
        <w:tc>
          <w:p>
            <w:pPr>
              <w:pStyle w:val="Normal"/>
              <w:jc w:val="center"/>
            </w:pPr>
            <w:r>
              <w:t>3135.3</w:t>
            </w:r>
          </w:p>
        </w:tc>
        <w:tc>
          <w:p>
            <w:pPr>
              <w:pStyle w:val="Normal"/>
              <w:jc w:val="center"/>
            </w:pPr>
            <w:r>
              <w:t>2925.8</w:t>
            </w:r>
          </w:p>
        </w:tc>
        <w:tc>
          <w:p>
            <w:pPr>
              <w:pStyle w:val="Normal"/>
              <w:jc w:val="center"/>
            </w:pPr>
            <w:r>
              <w:t>2905.5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</w:tr>
    </w:tbl>
    <w:p>
      <w:pPr>
        <w:pStyle w:val="Normal"/>
      </w:pPr>
      <w:r>
        <w:t xml:space="preserve">Note. The meta-average multiplier is 0.5. Cluster-robust standard errors in parentheses. * p &lt; .10; ** p &lt; .05; *** p &lt; .01. Ecology is the reference subfield.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2026-08-08T12:57:27Z</dcterms:modified>
  <cp:category/>
</cp:coreProperties>
</file>