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Variable</w:t>
            </w:r>
          </w:p>
        </w:tc>
        <w:tc>
          <w:p>
            <w:pPr>
              <w:pStyle w:val="Normal"/>
              <w:jc w:val="center"/>
            </w:pPr>
            <w:r>
              <w:t>0% heterogeneity: Model 1 Estimate (SE)</w:t>
            </w:r>
          </w:p>
        </w:tc>
        <w:tc>
          <w:p>
            <w:pPr>
              <w:pStyle w:val="Normal"/>
              <w:jc w:val="center"/>
            </w:pPr>
            <w:r>
              <w:t>0% heterogeneity: Model 2 Estimate (SE)</w:t>
            </w:r>
          </w:p>
        </w:tc>
        <w:tc>
          <w:p>
            <w:pPr>
              <w:pStyle w:val="Normal"/>
              <w:jc w:val="center"/>
            </w:pPr>
            <w:r>
              <w:t>50% heterogeneity: Model 1 Estimate (SE)</w:t>
            </w:r>
          </w:p>
        </w:tc>
        <w:tc>
          <w:p>
            <w:pPr>
              <w:pStyle w:val="Normal"/>
              <w:jc w:val="center"/>
            </w:pPr>
            <w:r>
              <w:t>50% heterogeneity: Model 2 Estimate (SE)</w:t>
            </w:r>
          </w:p>
        </w:tc>
      </w:tr>
      <w:tr>
        <w:tc>
          <w:p>
            <w:pPr>
              <w:pStyle w:val="Normal"/>
              <w:jc w:val="left"/>
            </w:pPr>
            <w:r>
              <w:t>Intercept</w:t>
            </w:r>
          </w:p>
        </w:tc>
        <w:tc>
          <w:p>
            <w:pPr>
              <w:pStyle w:val="Normal"/>
              <w:jc w:val="center"/>
            </w:pPr>
            <w:r>
              <w:t>5.467 (9.849)</w:t>
            </w:r>
          </w:p>
        </w:tc>
        <w:tc>
          <w:p>
            <w:pPr>
              <w:pStyle w:val="Normal"/>
              <w:jc w:val="center"/>
            </w:pPr>
            <w:r>
              <w:t>2.031 (10.238)</w:t>
            </w:r>
          </w:p>
        </w:tc>
        <w:tc>
          <w:p>
            <w:pPr>
              <w:pStyle w:val="Normal"/>
              <w:jc w:val="center"/>
            </w:pPr>
            <w:r>
              <w:t>54.661 (33.477)</w:t>
            </w:r>
          </w:p>
        </w:tc>
        <w:tc>
          <w:p>
            <w:pPr>
              <w:pStyle w:val="Normal"/>
              <w:jc w:val="center"/>
            </w:pPr>
            <w:r>
              <w:t>43.721 (34.893)</w:t>
            </w:r>
          </w:p>
        </w:tc>
      </w:tr>
      <w:tr>
        <w:tc>
          <w:p>
            <w:pPr>
              <w:pStyle w:val="Normal"/>
              <w:jc w:val="left"/>
            </w:pPr>
            <w:r>
              <w:t>Median power</w:t>
            </w:r>
          </w:p>
        </w:tc>
        <w:tc>
          <w:p>
            <w:pPr>
              <w:pStyle w:val="Normal"/>
              <w:jc w:val="center"/>
            </w:pPr>
            <w:r>
              <w:t>-0.017*** (0.001)</w:t>
            </w:r>
          </w:p>
        </w:tc>
        <w:tc>
          <w:p>
            <w:pPr>
              <w:pStyle w:val="Normal"/>
              <w:jc w:val="center"/>
            </w:pPr>
            <w:r>
              <w:t>-0.017*** (0.001)</w:t>
            </w:r>
          </w:p>
        </w:tc>
        <w:tc>
          <w:p>
            <w:pPr>
              <w:pStyle w:val="Normal"/>
              <w:jc w:val="center"/>
            </w:pPr>
            <w:r>
              <w:t>-0.015*** (0.002)</w:t>
            </w:r>
          </w:p>
        </w:tc>
        <w:tc>
          <w:p>
            <w:pPr>
              <w:pStyle w:val="Normal"/>
              <w:jc w:val="center"/>
            </w:pPr>
            <w:r>
              <w:t>-0.014*** (0.002)</w:t>
            </w:r>
          </w:p>
        </w:tc>
      </w:tr>
      <w:tr>
        <w:tc>
          <w:p>
            <w:pPr>
              <w:pStyle w:val="Normal"/>
              <w:jc w:val="left"/>
            </w:pPr>
            <w:r>
              <w:t>Experimental research design? (yes)</w:t>
            </w:r>
          </w:p>
        </w:tc>
        <w:tc>
          <w:p>
            <w:pPr>
              <w:pStyle w:val="Normal"/>
              <w:jc w:val="center"/>
            </w:pPr>
            <w:r>
              <w:t>0.054* (0.031)</w:t>
            </w:r>
          </w:p>
        </w:tc>
        <w:tc>
          <w:p>
            <w:pPr>
              <w:pStyle w:val="Normal"/>
              <w:jc w:val="center"/>
            </w:pPr>
            <w:r>
              <w:t>0.038 (0.035)</w:t>
            </w:r>
          </w:p>
        </w:tc>
        <w:tc>
          <w:p>
            <w:pPr>
              <w:pStyle w:val="Normal"/>
              <w:jc w:val="center"/>
            </w:pPr>
            <w:r>
              <w:t>0.106 (0.095)</w:t>
            </w:r>
          </w:p>
        </w:tc>
        <w:tc>
          <w:p>
            <w:pPr>
              <w:pStyle w:val="Normal"/>
              <w:jc w:val="center"/>
            </w:pPr>
            <w:r>
              <w:t>0.039 (0.078)</w:t>
            </w:r>
          </w:p>
        </w:tc>
      </w:tr>
      <w:tr>
        <w:tc>
          <w:p>
            <w:pPr>
              <w:pStyle w:val="Normal"/>
              <w:jc w:val="left"/>
            </w:pPr>
            <w:r>
              <w:t>Followed reporting guidelines? (yes)</w:t>
            </w:r>
          </w:p>
        </w:tc>
        <w:tc>
          <w:p>
            <w:pPr>
              <w:pStyle w:val="Normal"/>
              <w:jc w:val="center"/>
            </w:pPr>
            <w:r>
              <w:t>0.025 (0.027)</w:t>
            </w:r>
          </w:p>
        </w:tc>
        <w:tc>
          <w:p>
            <w:pPr>
              <w:pStyle w:val="Normal"/>
              <w:jc w:val="center"/>
            </w:pPr>
            <w:r>
              <w:t>0.028 (0.036)</w:t>
            </w:r>
          </w:p>
        </w:tc>
        <w:tc>
          <w:p>
            <w:pPr>
              <w:pStyle w:val="Normal"/>
              <w:jc w:val="center"/>
            </w:pPr>
            <w:r>
              <w:t>0.092 (0.132)</w:t>
            </w:r>
          </w:p>
        </w:tc>
        <w:tc>
          <w:p>
            <w:pPr>
              <w:pStyle w:val="Normal"/>
              <w:jc w:val="center"/>
            </w:pPr>
            <w:r>
              <w:t>0.127 (0.111)</w:t>
            </w:r>
          </w:p>
        </w:tc>
      </w:tr>
      <w:tr>
        <w:tc>
          <w:p>
            <w:pPr>
              <w:pStyle w:val="Normal"/>
              <w:jc w:val="left"/>
            </w:pPr>
            <w:r>
              <w:t>Protocol registered? (yes)</w:t>
            </w:r>
          </w:p>
        </w:tc>
        <w:tc>
          <w:p>
            <w:pPr>
              <w:pStyle w:val="Normal"/>
              <w:jc w:val="center"/>
            </w:pPr>
            <w:r>
              <w:t>-0.044 (0.032)</w:t>
            </w:r>
          </w:p>
        </w:tc>
        <w:tc>
          <w:p>
            <w:pPr>
              <w:pStyle w:val="Normal"/>
              <w:jc w:val="center"/>
            </w:pPr>
            <w:r>
              <w:t>-0.060 (0.038)</w:t>
            </w:r>
          </w:p>
        </w:tc>
        <w:tc>
          <w:p>
            <w:pPr>
              <w:pStyle w:val="Normal"/>
              <w:jc w:val="center"/>
            </w:pPr>
            <w:r>
              <w:t>0.087 (0.083)</w:t>
            </w:r>
          </w:p>
        </w:tc>
        <w:tc>
          <w:p>
            <w:pPr>
              <w:pStyle w:val="Normal"/>
              <w:jc w:val="center"/>
            </w:pPr>
            <w:r>
              <w:t>0.027 (0.089)</w:t>
            </w:r>
          </w:p>
        </w:tc>
      </w:tr>
      <w:tr>
        <w:tc>
          <w:p>
            <w:pPr>
              <w:pStyle w:val="Normal"/>
              <w:jc w:val="left"/>
            </w:pPr>
            <w:r>
              <w:t>Log number of independent studies</w:t>
            </w:r>
          </w:p>
        </w:tc>
        <w:tc>
          <w:p>
            <w:pPr>
              <w:pStyle w:val="Normal"/>
              <w:jc w:val="center"/>
            </w:pPr>
            <w:r>
              <w:t>0.012 (0.016)</w:t>
            </w:r>
          </w:p>
        </w:tc>
        <w:tc>
          <w:p>
            <w:pPr>
              <w:pStyle w:val="Normal"/>
              <w:jc w:val="center"/>
            </w:pPr>
            <w:r>
              <w:t>0.013 (0.017)</w:t>
            </w:r>
          </w:p>
        </w:tc>
        <w:tc>
          <w:p>
            <w:pPr>
              <w:pStyle w:val="Normal"/>
              <w:jc w:val="center"/>
            </w:pPr>
            <w:r>
              <w:t>-0.158*** (0.053)</w:t>
            </w:r>
          </w:p>
        </w:tc>
        <w:tc>
          <w:p>
            <w:pPr>
              <w:pStyle w:val="Normal"/>
              <w:jc w:val="center"/>
            </w:pPr>
            <w:r>
              <w:t>-0.134*** (0.042)</w:t>
            </w:r>
          </w:p>
        </w:tc>
      </w:tr>
      <w:tr>
        <w:tc>
          <w:p>
            <w:pPr>
              <w:pStyle w:val="Normal"/>
              <w:jc w:val="left"/>
            </w:pPr>
            <w:r>
              <w:t>Log journal impact factor</w:t>
            </w:r>
          </w:p>
        </w:tc>
        <w:tc>
          <w:p>
            <w:pPr>
              <w:pStyle w:val="Normal"/>
              <w:jc w:val="center"/>
            </w:pPr>
            <w:r>
              <w:t>0.008 (0.032)</w:t>
            </w:r>
          </w:p>
        </w:tc>
        <w:tc>
          <w:p>
            <w:pPr>
              <w:pStyle w:val="Normal"/>
              <w:jc w:val="center"/>
            </w:pPr>
            <w:r>
              <w:t>0.033 (0.034)</w:t>
            </w:r>
          </w:p>
        </w:tc>
        <w:tc>
          <w:p>
            <w:pPr>
              <w:pStyle w:val="Normal"/>
              <w:jc w:val="center"/>
            </w:pPr>
            <w:r>
              <w:t>-0.032 (0.075)</w:t>
            </w:r>
          </w:p>
        </w:tc>
        <w:tc>
          <w:p>
            <w:pPr>
              <w:pStyle w:val="Normal"/>
              <w:jc w:val="center"/>
            </w:pPr>
            <w:r>
              <w:t>-0.010 (0.076)</w:t>
            </w:r>
          </w:p>
        </w:tc>
      </w:tr>
      <w:tr>
        <w:tc>
          <w:p>
            <w:pPr>
              <w:pStyle w:val="Normal"/>
              <w:jc w:val="left"/>
            </w:pPr>
            <w:r>
              <w:t>Publication year</w:t>
            </w:r>
          </w:p>
        </w:tc>
        <w:tc>
          <w:p>
            <w:pPr>
              <w:pStyle w:val="Normal"/>
              <w:jc w:val="center"/>
            </w:pPr>
            <w:r>
              <w:t>-0.003 (0.005)</w:t>
            </w:r>
          </w:p>
        </w:tc>
        <w:tc>
          <w:p>
            <w:pPr>
              <w:pStyle w:val="Normal"/>
              <w:jc w:val="center"/>
            </w:pPr>
            <w:r>
              <w:t>-0.001 (0.005)</w:t>
            </w:r>
          </w:p>
        </w:tc>
        <w:tc>
          <w:p>
            <w:pPr>
              <w:pStyle w:val="Normal"/>
              <w:jc w:val="center"/>
            </w:pPr>
            <w:r>
              <w:t>-0.027 (0.017)</w:t>
            </w:r>
          </w:p>
        </w:tc>
        <w:tc>
          <w:p>
            <w:pPr>
              <w:pStyle w:val="Normal"/>
              <w:jc w:val="center"/>
            </w:pPr>
            <w:r>
              <w:t>-0.022 (0.017)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Chemistry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-0.087** (0.038)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-0.205** (0.092)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Engineering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-0.048 (0.057)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-0.276 (0.189)</w:t>
            </w:r>
          </w:p>
        </w:tc>
      </w:tr>
      <w:tr>
        <w:tc>
          <w:p>
            <w:pPr>
              <w:pStyle w:val="Normal"/>
              <w:jc w:val="left"/>
            </w:pPr>
            <w:r>
              <w:t>Health, Toxicology and Mutagenesis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-0.120 (0.091)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-0.345*** (0.130)</w:t>
            </w:r>
          </w:p>
        </w:tc>
      </w:tr>
      <w:tr>
        <w:tc>
          <w:p>
            <w:pPr>
              <w:pStyle w:val="Normal"/>
              <w:jc w:val="left"/>
            </w:pPr>
            <w:r>
              <w:t>Management, Monitoring, Policy and Law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0.065* (0.035)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0.367** (0.165)</w:t>
            </w:r>
          </w:p>
        </w:tc>
      </w:tr>
      <w:tr>
        <w:tc>
          <w:p>
            <w:pPr>
              <w:pStyle w:val="Normal"/>
              <w:jc w:val="left"/>
            </w:pPr>
            <w:r>
              <w:t>Nature and Landscape Conservation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-0.023 (0.027)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-0.082 (0.083)</w:t>
            </w:r>
          </w:p>
        </w:tc>
      </w:tr>
      <w:tr>
        <w:tc>
          <w:p>
            <w:pPr>
              <w:pStyle w:val="Normal"/>
              <w:jc w:val="left"/>
            </w:pPr>
            <w:r>
              <w:t>Water Science and Technology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0.086 (0.088)</w:t>
            </w:r>
          </w:p>
        </w:tc>
        <w:tc>
          <w:p>
            <w:pPr>
              <w:pStyle w:val="Normal"/>
              <w:jc w:val="center"/>
            </w:pPr>
            <w:r>
              <w:t/>
            </w:r>
          </w:p>
        </w:tc>
        <w:tc>
          <w:p>
            <w:pPr>
              <w:pStyle w:val="Normal"/>
              <w:jc w:val="center"/>
            </w:pPr>
            <w:r>
              <w:t>-0.108 (0.165)</w:t>
            </w:r>
          </w:p>
        </w:tc>
      </w:tr>
      <w:tr>
        <w:tc>
          <w:p>
            <w:pPr>
              <w:pStyle w:val="Normal"/>
              <w:jc w:val="left"/>
            </w:pPr>
            <w:r>
              <w:t>Effect size type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  <w:tc>
          <w:p>
            <w:pPr>
              <w:pStyle w:val="Normal"/>
              <w:jc w:val="center"/>
            </w:pPr>
            <w:r>
              <w:t>Yes</w:t>
            </w:r>
          </w:p>
        </w:tc>
      </w:tr>
      <w:tr>
        <w:tc>
          <w:p>
            <w:pPr>
              <w:pStyle w:val="Normal"/>
              <w:jc w:val="left"/>
            </w:pPr>
            <w:r>
              <w:t>AIC</w:t>
            </w:r>
          </w:p>
        </w:tc>
        <w:tc>
          <w:p>
            <w:pPr>
              <w:pStyle w:val="Normal"/>
              <w:jc w:val="center"/>
            </w:pPr>
            <w:r>
              <w:t>3198.048</w:t>
            </w:r>
          </w:p>
        </w:tc>
        <w:tc>
          <w:p>
            <w:pPr>
              <w:pStyle w:val="Normal"/>
              <w:jc w:val="center"/>
            </w:pPr>
            <w:r>
              <w:t>3193.301</w:t>
            </w:r>
          </w:p>
        </w:tc>
        <w:tc>
          <w:p>
            <w:pPr>
              <w:pStyle w:val="Normal"/>
              <w:jc w:val="center"/>
            </w:pPr>
            <w:r>
              <w:t>3250.227</w:t>
            </w:r>
          </w:p>
        </w:tc>
        <w:tc>
          <w:p>
            <w:pPr>
              <w:pStyle w:val="Normal"/>
              <w:jc w:val="center"/>
            </w:pPr>
            <w:r>
              <w:t>3230.694</w:t>
            </w:r>
          </w:p>
        </w:tc>
      </w:tr>
      <w:tr>
        <w:tc>
          <w:p>
            <w:pPr>
              <w:pStyle w:val="Normal"/>
              <w:jc w:val="left"/>
            </w:pPr>
            <w:r>
              <w:t>No. of meta-analyses</w:t>
            </w:r>
          </w:p>
        </w:tc>
        <w:tc>
          <w:p>
            <w:pPr>
              <w:pStyle w:val="Normal"/>
              <w:jc w:val="center"/>
            </w:pPr>
            <w:r>
              <w:t>650</w:t>
            </w:r>
          </w:p>
        </w:tc>
        <w:tc>
          <w:p>
            <w:pPr>
              <w:pStyle w:val="Normal"/>
              <w:jc w:val="center"/>
            </w:pPr>
            <w:r>
              <w:t>650</w:t>
            </w:r>
          </w:p>
        </w:tc>
        <w:tc>
          <w:p>
            <w:pPr>
              <w:pStyle w:val="Normal"/>
              <w:jc w:val="center"/>
            </w:pPr>
            <w:r>
              <w:t>606</w:t>
            </w:r>
          </w:p>
        </w:tc>
        <w:tc>
          <w:p>
            <w:pPr>
              <w:pStyle w:val="Normal"/>
              <w:jc w:val="center"/>
            </w:pPr>
            <w:r>
              <w:t>606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2026-08-08T13:02:36Z</dcterms:modified>
  <cp:category/>
</cp:coreProperties>
</file>