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No. of primary estimates</w:t>
            </w:r>
          </w:p>
        </w:tc>
        <w:tc>
          <w:p>
            <w:pPr>
              <w:pStyle w:val="Normal"/>
              <w:jc w:val="center"/>
            </w:pPr>
            <w:r>
              <w:t>Median of medians</w:t>
            </w:r>
          </w:p>
        </w:tc>
        <w:tc>
          <w:p>
            <w:pPr>
              <w:pStyle w:val="Normal"/>
              <w:jc w:val="center"/>
            </w:pPr>
            <w:r>
              <w:t>Median</w:t>
            </w:r>
          </w:p>
        </w:tc>
        <w:tc>
          <w:p>
            <w:pPr>
              <w:pStyle w:val="Normal"/>
              <w:jc w:val="center"/>
            </w:pPr>
            <w:r>
              <w:t>Mean</w:t>
            </w:r>
          </w:p>
        </w:tc>
        <w:tc>
          <w:p>
            <w:pPr>
              <w:pStyle w:val="Normal"/>
              <w:jc w:val="center"/>
            </w:pPr>
            <w:r>
              <w:t>Q25</w:t>
            </w:r>
          </w:p>
        </w:tc>
        <w:tc>
          <w:p>
            <w:pPr>
              <w:pStyle w:val="Normal"/>
              <w:jc w:val="center"/>
            </w:pPr>
            <w:r>
              <w:t>Q75</w:t>
            </w:r>
          </w:p>
        </w:tc>
        <w:tc>
          <w:p>
            <w:pPr>
              <w:pStyle w:val="Normal"/>
              <w:jc w:val="center"/>
            </w:pPr>
            <w:r>
              <w:t>SAPE</w:t>
            </w:r>
          </w:p>
        </w:tc>
      </w:tr>
      <w:tr>
        <w:tc>
          <w:p>
            <w:pPr>
              <w:pStyle w:val="Normal"/>
              <w:jc w:val="left"/>
            </w:pPr>
            <w:r>
              <w:t>All meta-analyses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  <w:tc>
          <w:p>
            <w:pPr>
              <w:pStyle w:val="Normal"/>
              <w:jc w:val="center"/>
            </w:pPr>
            <w:r>
              <w:t>0.05</w:t>
            </w:r>
          </w:p>
        </w:tc>
        <w:tc>
          <w:p>
            <w:pPr>
              <w:pStyle w:val="Normal"/>
              <w:jc w:val="center"/>
            </w:pPr>
            <w:r>
              <w:t>0.18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  <w:tc>
          <w:p>
            <w:pPr>
              <w:pStyle w:val="Normal"/>
              <w:jc w:val="center"/>
            </w:pPr>
            <w:r>
              <w:t>20032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0.21</w:t>
            </w:r>
          </w:p>
        </w:tc>
        <w:tc>
          <w:p>
            <w:pPr>
              <w:pStyle w:val="Normal"/>
              <w:jc w:val="center"/>
            </w:pPr>
            <w:r>
              <w:t>0.05</w:t>
            </w:r>
          </w:p>
        </w:tc>
        <w:tc>
          <w:p>
            <w:pPr>
              <w:pStyle w:val="Normal"/>
              <w:jc w:val="center"/>
            </w:pPr>
            <w:r>
              <w:t>0.16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  <w:tc>
          <w:p>
            <w:pPr>
              <w:pStyle w:val="Normal"/>
              <w:jc w:val="center"/>
            </w:pPr>
            <w:r>
              <w:t>8523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0.14</w:t>
            </w:r>
          </w:p>
        </w:tc>
        <w:tc>
          <w:p>
            <w:pPr>
              <w:pStyle w:val="Normal"/>
              <w:jc w:val="center"/>
            </w:pPr>
            <w:r>
              <w:t>0.05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0.05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12217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0.19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0.16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  <w:tc>
          <w:p>
            <w:pPr>
              <w:pStyle w:val="Normal"/>
              <w:jc w:val="center"/>
            </w:pPr>
            <w:r>
              <w:t>8378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  <w:tc>
          <w:p>
            <w:pPr>
              <w:pStyle w:val="Normal"/>
              <w:jc w:val="center"/>
            </w:pPr>
            <w:r>
              <w:t>0.40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0.31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 816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  <w:tc>
          <w:p>
            <w:pPr>
              <w:pStyle w:val="Normal"/>
              <w:jc w:val="center"/>
            </w:pPr>
            <w:r>
              <w:t>0.05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0.01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  <w:tc>
          <w:p>
            <w:pPr>
              <w:pStyle w:val="Normal"/>
              <w:jc w:val="center"/>
            </w:pPr>
            <w:r>
              <w:t>13051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0.05</w:t>
            </w:r>
          </w:p>
        </w:tc>
        <w:tc>
          <w:p>
            <w:pPr>
              <w:pStyle w:val="Normal"/>
              <w:jc w:val="center"/>
            </w:pPr>
            <w:r>
              <w:t>0.19</w:t>
            </w:r>
          </w:p>
        </w:tc>
        <w:tc>
          <w:p>
            <w:pPr>
              <w:pStyle w:val="Normal"/>
              <w:jc w:val="center"/>
            </w:pPr>
            <w:r>
              <w:t>0.08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 806</w:t>
            </w:r>
          </w:p>
        </w:tc>
        <w:tc>
          <w:p>
            <w:pPr>
              <w:pStyle w:val="Normal"/>
              <w:jc w:val="center"/>
            </w:pPr>
            <w:r>
              <w:t>0.08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0.24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0.28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2026-09-04T10:43:56Z</dcterms:modified>
  <cp:category/>
</cp:coreProperties>
</file>