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Small-study effects (%)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15.7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162</w:t>
            </w:r>
          </w:p>
        </w:tc>
        <w:tc>
          <w:p>
            <w:pPr>
              <w:pStyle w:val="Normal"/>
              <w:jc w:val="center"/>
            </w:pPr>
            <w:r>
              <w:t>15.4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65</w:t>
            </w:r>
          </w:p>
        </w:tc>
        <w:tc>
          <w:p>
            <w:pPr>
              <w:pStyle w:val="Normal"/>
              <w:jc w:val="center"/>
            </w:pPr>
            <w:r>
              <w:t>20.0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40</w:t>
            </w:r>
          </w:p>
        </w:tc>
        <w:tc>
          <w:p>
            <w:pPr>
              <w:pStyle w:val="Normal"/>
              <w:jc w:val="center"/>
            </w:pPr>
            <w:r>
              <w:t>7.5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283</w:t>
            </w:r>
          </w:p>
        </w:tc>
        <w:tc>
          <w:p>
            <w:pPr>
              <w:pStyle w:val="Normal"/>
              <w:jc w:val="center"/>
            </w:pPr>
            <w:r>
              <w:t>15.9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19</w:t>
            </w:r>
          </w:p>
        </w:tc>
        <w:tc>
          <w:p>
            <w:pPr>
              <w:pStyle w:val="Normal"/>
              <w:jc w:val="center"/>
            </w:pPr>
            <w:r>
              <w:t>5.3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98</w:t>
            </w:r>
          </w:p>
        </w:tc>
        <w:tc>
          <w:p>
            <w:pPr>
              <w:pStyle w:val="Normal"/>
              <w:jc w:val="center"/>
            </w:pPr>
            <w:r>
              <w:t>22.4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41</w:t>
            </w:r>
          </w:p>
        </w:tc>
        <w:tc>
          <w:p>
            <w:pPr>
              <w:pStyle w:val="Normal"/>
              <w:jc w:val="center"/>
            </w:pPr>
            <w:r>
              <w:t>4.9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2026-08-11T14:31:42Z</dcterms:modified>
  <cp:category/>
</cp:coreProperties>
</file>