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4. Negative binomial regression of excess significant results</w:t>
      </w:r>
    </w:p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  <w:jc w:val="left"/>
            </w:pPr>
            <w:r>
              <w:t>Variable</w:t>
            </w:r>
          </w:p>
        </w:tc>
        <w:tc>
          <w:p>
            <w:pPr>
              <w:pStyle w:val="Normal"/>
              <w:jc w:val="center"/>
            </w:pPr>
            <w:r>
              <w:t>0% genuine heterogeneity: Model 1 Estimate (SE)</w:t>
            </w:r>
          </w:p>
        </w:tc>
        <w:tc>
          <w:p>
            <w:pPr>
              <w:pStyle w:val="Normal"/>
              <w:jc w:val="center"/>
            </w:pPr>
            <w:r>
              <w:t>0% genuine heterogeneity: Model 2 Estimate (SE)</w:t>
            </w:r>
          </w:p>
        </w:tc>
        <w:tc>
          <w:p>
            <w:pPr>
              <w:pStyle w:val="Normal"/>
              <w:jc w:val="center"/>
            </w:pPr>
            <w:r>
              <w:t>50% genuine heterogeneity: Model 1 Estimate (SE)</w:t>
            </w:r>
          </w:p>
        </w:tc>
        <w:tc>
          <w:p>
            <w:pPr>
              <w:pStyle w:val="Normal"/>
              <w:jc w:val="center"/>
            </w:pPr>
            <w:r>
              <w:t>50% genuine heterogeneity: Model 2 Estimate (SE)</w:t>
            </w:r>
          </w:p>
        </w:tc>
      </w:tr>
      <w:tr>
        <w:tc>
          <w:p>
            <w:pPr>
              <w:pStyle w:val="Normal"/>
              <w:jc w:val="left"/>
            </w:pPr>
            <w:r>
              <w:t>Intercept</w:t>
            </w:r>
          </w:p>
        </w:tc>
        <w:tc>
          <w:p>
            <w:pPr>
              <w:pStyle w:val="Normal"/>
              <w:jc w:val="center"/>
            </w:pPr>
            <w:r>
              <w:t>14.059 (19.254)</w:t>
            </w:r>
          </w:p>
        </w:tc>
        <w:tc>
          <w:p>
            <w:pPr>
              <w:pStyle w:val="Normal"/>
              <w:jc w:val="center"/>
            </w:pPr>
            <w:r>
              <w:t>5.677 (20.390)</w:t>
            </w:r>
          </w:p>
        </w:tc>
        <w:tc>
          <w:p>
            <w:pPr>
              <w:pStyle w:val="Normal"/>
              <w:jc w:val="center"/>
            </w:pPr>
            <w:r>
              <w:t>59.040** (29.397)</w:t>
            </w:r>
          </w:p>
        </w:tc>
        <w:tc>
          <w:p>
            <w:pPr>
              <w:pStyle w:val="Normal"/>
              <w:jc w:val="center"/>
            </w:pPr>
            <w:r>
              <w:t>37.195 (28.853)</w:t>
            </w:r>
          </w:p>
        </w:tc>
      </w:tr>
      <w:tr>
        <w:tc>
          <w:p>
            <w:pPr>
              <w:pStyle w:val="Normal"/>
              <w:jc w:val="left"/>
            </w:pPr>
            <w:r>
              <w:t>Median power</w:t>
            </w:r>
          </w:p>
        </w:tc>
        <w:tc>
          <w:p>
            <w:pPr>
              <w:pStyle w:val="Normal"/>
              <w:jc w:val="center"/>
            </w:pPr>
            <w:r>
              <w:t>-0.023*** (0.002)</w:t>
            </w:r>
          </w:p>
        </w:tc>
        <w:tc>
          <w:p>
            <w:pPr>
              <w:pStyle w:val="Normal"/>
              <w:jc w:val="center"/>
            </w:pPr>
            <w:r>
              <w:t>-0.023*** (0.002)</w:t>
            </w:r>
          </w:p>
        </w:tc>
        <w:tc>
          <w:p>
            <w:pPr>
              <w:pStyle w:val="Normal"/>
              <w:jc w:val="center"/>
            </w:pPr>
            <w:r>
              <w:t>-0.016*** (0.001)</w:t>
            </w:r>
          </w:p>
        </w:tc>
        <w:tc>
          <w:p>
            <w:pPr>
              <w:pStyle w:val="Normal"/>
              <w:jc w:val="center"/>
            </w:pPr>
            <w:r>
              <w:t>-0.015*** (0.001)</w:t>
            </w:r>
          </w:p>
        </w:tc>
      </w:tr>
      <w:tr>
        <w:tc>
          <w:p>
            <w:pPr>
              <w:pStyle w:val="Normal"/>
              <w:jc w:val="left"/>
            </w:pPr>
            <w:r>
              <w:t>Experimental research design? (yes)</w:t>
            </w:r>
          </w:p>
        </w:tc>
        <w:tc>
          <w:p>
            <w:pPr>
              <w:pStyle w:val="Normal"/>
              <w:jc w:val="center"/>
            </w:pPr>
            <w:r>
              <w:t>0.127*** (0.047)</w:t>
            </w:r>
          </w:p>
        </w:tc>
        <w:tc>
          <w:p>
            <w:pPr>
              <w:pStyle w:val="Normal"/>
              <w:jc w:val="center"/>
            </w:pPr>
            <w:r>
              <w:t>0.089* (0.050)</w:t>
            </w:r>
          </w:p>
        </w:tc>
        <w:tc>
          <w:p>
            <w:pPr>
              <w:pStyle w:val="Normal"/>
              <w:jc w:val="center"/>
            </w:pPr>
            <w:r>
              <w:t>0.165* (0.087)</w:t>
            </w:r>
          </w:p>
        </w:tc>
        <w:tc>
          <w:p>
            <w:pPr>
              <w:pStyle w:val="Normal"/>
              <w:jc w:val="center"/>
            </w:pPr>
            <w:r>
              <w:t>0.080 (0.080)</w:t>
            </w:r>
          </w:p>
        </w:tc>
      </w:tr>
      <w:tr>
        <w:tc>
          <w:p>
            <w:pPr>
              <w:pStyle w:val="Normal"/>
              <w:jc w:val="left"/>
            </w:pPr>
            <w:r>
              <w:t>Followed reporting guidelines? (yes)</w:t>
            </w:r>
          </w:p>
        </w:tc>
        <w:tc>
          <w:p>
            <w:pPr>
              <w:pStyle w:val="Normal"/>
              <w:jc w:val="center"/>
            </w:pPr>
            <w:r>
              <w:t>0.071 (0.046)</w:t>
            </w:r>
          </w:p>
        </w:tc>
        <w:tc>
          <w:p>
            <w:pPr>
              <w:pStyle w:val="Normal"/>
              <w:jc w:val="center"/>
            </w:pPr>
            <w:r>
              <w:t>0.087 (0.056)</w:t>
            </w:r>
          </w:p>
        </w:tc>
        <w:tc>
          <w:p>
            <w:pPr>
              <w:pStyle w:val="Normal"/>
              <w:jc w:val="center"/>
            </w:pPr>
            <w:r>
              <w:t>0.128 (0.121)</w:t>
            </w:r>
          </w:p>
        </w:tc>
        <w:tc>
          <w:p>
            <w:pPr>
              <w:pStyle w:val="Normal"/>
              <w:jc w:val="center"/>
            </w:pPr>
            <w:r>
              <w:t>0.143 (0.091)</w:t>
            </w:r>
          </w:p>
        </w:tc>
      </w:tr>
      <w:tr>
        <w:tc>
          <w:p>
            <w:pPr>
              <w:pStyle w:val="Normal"/>
              <w:jc w:val="left"/>
            </w:pPr>
            <w:r>
              <w:t>Protocol registered? (yes)</w:t>
            </w:r>
          </w:p>
        </w:tc>
        <w:tc>
          <w:p>
            <w:pPr>
              <w:pStyle w:val="Normal"/>
              <w:jc w:val="center"/>
            </w:pPr>
            <w:r>
              <w:t>-0.089* (0.051)</w:t>
            </w:r>
          </w:p>
        </w:tc>
        <w:tc>
          <w:p>
            <w:pPr>
              <w:pStyle w:val="Normal"/>
              <w:jc w:val="center"/>
            </w:pPr>
            <w:r>
              <w:t>-0.124** (0.056)</w:t>
            </w:r>
          </w:p>
        </w:tc>
        <w:tc>
          <w:p>
            <w:pPr>
              <w:pStyle w:val="Normal"/>
              <w:jc w:val="center"/>
            </w:pPr>
            <w:r>
              <w:t>0.016 (0.083)</w:t>
            </w:r>
          </w:p>
        </w:tc>
        <w:tc>
          <w:p>
            <w:pPr>
              <w:pStyle w:val="Normal"/>
              <w:jc w:val="center"/>
            </w:pPr>
            <w:r>
              <w:t>-0.055 (0.084)</w:t>
            </w:r>
          </w:p>
        </w:tc>
      </w:tr>
      <w:tr>
        <w:tc>
          <w:p>
            <w:pPr>
              <w:pStyle w:val="Normal"/>
              <w:jc w:val="left"/>
            </w:pPr>
            <w:r>
              <w:t>Log number of independent studies</w:t>
            </w:r>
          </w:p>
        </w:tc>
        <w:tc>
          <w:p>
            <w:pPr>
              <w:pStyle w:val="Normal"/>
              <w:jc w:val="center"/>
            </w:pPr>
            <w:r>
              <w:t>-0.020 (0.024)</w:t>
            </w:r>
          </w:p>
        </w:tc>
        <w:tc>
          <w:p>
            <w:pPr>
              <w:pStyle w:val="Normal"/>
              <w:jc w:val="center"/>
            </w:pPr>
            <w:r>
              <w:t>-0.009 (0.027)</w:t>
            </w:r>
          </w:p>
        </w:tc>
        <w:tc>
          <w:p>
            <w:pPr>
              <w:pStyle w:val="Normal"/>
              <w:jc w:val="center"/>
            </w:pPr>
            <w:r>
              <w:t>-0.185*** (0.050)</w:t>
            </w:r>
          </w:p>
        </w:tc>
        <w:tc>
          <w:p>
            <w:pPr>
              <w:pStyle w:val="Normal"/>
              <w:jc w:val="center"/>
            </w:pPr>
            <w:r>
              <w:t>-0.151*** (0.040)</w:t>
            </w:r>
          </w:p>
        </w:tc>
      </w:tr>
      <w:tr>
        <w:tc>
          <w:p>
            <w:pPr>
              <w:pStyle w:val="Normal"/>
              <w:jc w:val="left"/>
            </w:pPr>
            <w:r>
              <w:t>Log journal impact factor</w:t>
            </w:r>
          </w:p>
        </w:tc>
        <w:tc>
          <w:p>
            <w:pPr>
              <w:pStyle w:val="Normal"/>
              <w:jc w:val="center"/>
            </w:pPr>
            <w:r>
              <w:t>0.005 (0.048)</w:t>
            </w:r>
          </w:p>
        </w:tc>
        <w:tc>
          <w:p>
            <w:pPr>
              <w:pStyle w:val="Normal"/>
              <w:jc w:val="center"/>
            </w:pPr>
            <w:r>
              <w:t>0.007 (0.046)</w:t>
            </w:r>
          </w:p>
        </w:tc>
        <w:tc>
          <w:p>
            <w:pPr>
              <w:pStyle w:val="Normal"/>
              <w:jc w:val="center"/>
            </w:pPr>
            <w:r>
              <w:t>-0.035 (0.067)</w:t>
            </w:r>
          </w:p>
        </w:tc>
        <w:tc>
          <w:p>
            <w:pPr>
              <w:pStyle w:val="Normal"/>
              <w:jc w:val="center"/>
            </w:pPr>
            <w:r>
              <w:t>-0.013 (0.063)</w:t>
            </w:r>
          </w:p>
        </w:tc>
      </w:tr>
      <w:tr>
        <w:tc>
          <w:p>
            <w:pPr>
              <w:pStyle w:val="Normal"/>
              <w:jc w:val="left"/>
            </w:pPr>
            <w:r>
              <w:t>Publication year</w:t>
            </w:r>
          </w:p>
        </w:tc>
        <w:tc>
          <w:p>
            <w:pPr>
              <w:pStyle w:val="Normal"/>
              <w:jc w:val="center"/>
            </w:pPr>
            <w:r>
              <w:t>-0.007 (0.010)</w:t>
            </w:r>
          </w:p>
        </w:tc>
        <w:tc>
          <w:p>
            <w:pPr>
              <w:pStyle w:val="Normal"/>
              <w:jc w:val="center"/>
            </w:pPr>
            <w:r>
              <w:t>-0.003 (0.010)</w:t>
            </w:r>
          </w:p>
        </w:tc>
        <w:tc>
          <w:p>
            <w:pPr>
              <w:pStyle w:val="Normal"/>
              <w:jc w:val="center"/>
            </w:pPr>
            <w:r>
              <w:t>-0.029** (0.015)</w:t>
            </w:r>
          </w:p>
        </w:tc>
        <w:tc>
          <w:p>
            <w:pPr>
              <w:pStyle w:val="Normal"/>
              <w:jc w:val="center"/>
            </w:pPr>
            <w:r>
              <w:t>-0.019 (0.014)</w:t>
            </w:r>
          </w:p>
        </w:tc>
      </w:tr>
      <w:tr>
        <w:tc>
          <w:p>
            <w:pPr>
              <w:pStyle w:val="Normal"/>
              <w:jc w:val="left"/>
            </w:pPr>
            <w:r>
              <w:t>Environmental Chemistry</w:t>
            </w:r>
          </w:p>
        </w:tc>
        <w:tc>
          <w:p>
            <w:pPr>
              <w:pStyle w:val="Normal"/>
              <w:jc w:val="center"/>
            </w:pPr>
            <w:r>
              <w:t/>
            </w:r>
          </w:p>
        </w:tc>
        <w:tc>
          <w:p>
            <w:pPr>
              <w:pStyle w:val="Normal"/>
              <w:jc w:val="center"/>
            </w:pPr>
            <w:r>
              <w:t>-0.115** (0.058)</w:t>
            </w:r>
          </w:p>
        </w:tc>
        <w:tc>
          <w:p>
            <w:pPr>
              <w:pStyle w:val="Normal"/>
              <w:jc w:val="center"/>
            </w:pPr>
            <w:r>
              <w:t/>
            </w:r>
          </w:p>
        </w:tc>
        <w:tc>
          <w:p>
            <w:pPr>
              <w:pStyle w:val="Normal"/>
              <w:jc w:val="center"/>
            </w:pPr>
            <w:r>
              <w:t>-0.243** (0.095)</w:t>
            </w:r>
          </w:p>
        </w:tc>
      </w:tr>
      <w:tr>
        <w:tc>
          <w:p>
            <w:pPr>
              <w:pStyle w:val="Normal"/>
              <w:jc w:val="left"/>
            </w:pPr>
            <w:r>
              <w:t>Environmental Engineering</w:t>
            </w:r>
          </w:p>
        </w:tc>
        <w:tc>
          <w:p>
            <w:pPr>
              <w:pStyle w:val="Normal"/>
              <w:jc w:val="center"/>
            </w:pPr>
            <w:r>
              <w:t/>
            </w:r>
          </w:p>
        </w:tc>
        <w:tc>
          <w:p>
            <w:pPr>
              <w:pStyle w:val="Normal"/>
              <w:jc w:val="center"/>
            </w:pPr>
            <w:r>
              <w:t>-0.134 (0.090)</w:t>
            </w:r>
          </w:p>
        </w:tc>
        <w:tc>
          <w:p>
            <w:pPr>
              <w:pStyle w:val="Normal"/>
              <w:jc w:val="center"/>
            </w:pPr>
            <w:r>
              <w:t/>
            </w:r>
          </w:p>
        </w:tc>
        <w:tc>
          <w:p>
            <w:pPr>
              <w:pStyle w:val="Normal"/>
              <w:jc w:val="center"/>
            </w:pPr>
            <w:r>
              <w:t>-0.410*** (0.118)</w:t>
            </w:r>
          </w:p>
        </w:tc>
      </w:tr>
      <w:tr>
        <w:tc>
          <w:p>
            <w:pPr>
              <w:pStyle w:val="Normal"/>
              <w:jc w:val="left"/>
            </w:pPr>
            <w:r>
              <w:t>Health, Toxicology and Mutagenesis</w:t>
            </w:r>
          </w:p>
        </w:tc>
        <w:tc>
          <w:p>
            <w:pPr>
              <w:pStyle w:val="Normal"/>
              <w:jc w:val="center"/>
            </w:pPr>
            <w:r>
              <w:t/>
            </w:r>
          </w:p>
        </w:tc>
        <w:tc>
          <w:p>
            <w:pPr>
              <w:pStyle w:val="Normal"/>
              <w:jc w:val="center"/>
            </w:pPr>
            <w:r>
              <w:t>-0.220* (0.117)</w:t>
            </w:r>
          </w:p>
        </w:tc>
        <w:tc>
          <w:p>
            <w:pPr>
              <w:pStyle w:val="Normal"/>
              <w:jc w:val="center"/>
            </w:pPr>
            <w:r>
              <w:t/>
            </w:r>
          </w:p>
        </w:tc>
        <w:tc>
          <w:p>
            <w:pPr>
              <w:pStyle w:val="Normal"/>
              <w:jc w:val="center"/>
            </w:pPr>
            <w:r>
              <w:t>-0.374*** (0.121)</w:t>
            </w:r>
          </w:p>
        </w:tc>
      </w:tr>
      <w:tr>
        <w:tc>
          <w:p>
            <w:pPr>
              <w:pStyle w:val="Normal"/>
              <w:jc w:val="left"/>
            </w:pPr>
            <w:r>
              <w:t>Management, Monitoring, Policy and Law</w:t>
            </w:r>
          </w:p>
        </w:tc>
        <w:tc>
          <w:p>
            <w:pPr>
              <w:pStyle w:val="Normal"/>
              <w:jc w:val="center"/>
            </w:pPr>
            <w:r>
              <w:t/>
            </w:r>
          </w:p>
        </w:tc>
        <w:tc>
          <w:p>
            <w:pPr>
              <w:pStyle w:val="Normal"/>
              <w:jc w:val="center"/>
            </w:pPr>
            <w:r>
              <w:t>0.108* (0.063)</w:t>
            </w:r>
          </w:p>
        </w:tc>
        <w:tc>
          <w:p>
            <w:pPr>
              <w:pStyle w:val="Normal"/>
              <w:jc w:val="center"/>
            </w:pPr>
            <w:r>
              <w:t/>
            </w:r>
          </w:p>
        </w:tc>
        <w:tc>
          <w:p>
            <w:pPr>
              <w:pStyle w:val="Normal"/>
              <w:jc w:val="center"/>
            </w:pPr>
            <w:r>
              <w:t>0.293* (0.151)</w:t>
            </w:r>
          </w:p>
        </w:tc>
      </w:tr>
      <w:tr>
        <w:tc>
          <w:p>
            <w:pPr>
              <w:pStyle w:val="Normal"/>
              <w:jc w:val="left"/>
            </w:pPr>
            <w:r>
              <w:t>Nature and Landscape Conservation</w:t>
            </w:r>
          </w:p>
        </w:tc>
        <w:tc>
          <w:p>
            <w:pPr>
              <w:pStyle w:val="Normal"/>
              <w:jc w:val="center"/>
            </w:pPr>
            <w:r>
              <w:t/>
            </w:r>
          </w:p>
        </w:tc>
        <w:tc>
          <w:p>
            <w:pPr>
              <w:pStyle w:val="Normal"/>
              <w:jc w:val="center"/>
            </w:pPr>
            <w:r>
              <w:t>-0.083* (0.048)</w:t>
            </w:r>
          </w:p>
        </w:tc>
        <w:tc>
          <w:p>
            <w:pPr>
              <w:pStyle w:val="Normal"/>
              <w:jc w:val="center"/>
            </w:pPr>
            <w:r>
              <w:t/>
            </w:r>
          </w:p>
        </w:tc>
        <w:tc>
          <w:p>
            <w:pPr>
              <w:pStyle w:val="Normal"/>
              <w:jc w:val="center"/>
            </w:pPr>
            <w:r>
              <w:t>-0.085 (0.083)</w:t>
            </w:r>
          </w:p>
        </w:tc>
      </w:tr>
      <w:tr>
        <w:tc>
          <w:p>
            <w:pPr>
              <w:pStyle w:val="Normal"/>
              <w:jc w:val="left"/>
            </w:pPr>
            <w:r>
              <w:t>Water Science and Technology</w:t>
            </w:r>
          </w:p>
        </w:tc>
        <w:tc>
          <w:p>
            <w:pPr>
              <w:pStyle w:val="Normal"/>
              <w:jc w:val="center"/>
            </w:pPr>
            <w:r>
              <w:t/>
            </w:r>
          </w:p>
        </w:tc>
        <w:tc>
          <w:p>
            <w:pPr>
              <w:pStyle w:val="Normal"/>
              <w:jc w:val="center"/>
            </w:pPr>
            <w:r>
              <w:t>-0.126 (0.115)</w:t>
            </w:r>
          </w:p>
        </w:tc>
        <w:tc>
          <w:p>
            <w:pPr>
              <w:pStyle w:val="Normal"/>
              <w:jc w:val="center"/>
            </w:pPr>
            <w:r>
              <w:t/>
            </w:r>
          </w:p>
        </w:tc>
        <w:tc>
          <w:p>
            <w:pPr>
              <w:pStyle w:val="Normal"/>
              <w:jc w:val="center"/>
            </w:pPr>
            <w:r>
              <w:t>-0.209 (0.131)</w:t>
            </w:r>
          </w:p>
        </w:tc>
      </w:tr>
      <w:tr>
        <w:tc>
          <w:p>
            <w:pPr>
              <w:pStyle w:val="Normal"/>
              <w:jc w:val="left"/>
            </w:pPr>
            <w:r>
              <w:t>Effect size type</w:t>
            </w:r>
          </w:p>
        </w:tc>
        <w:tc>
          <w:p>
            <w:pPr>
              <w:pStyle w:val="Normal"/>
              <w:jc w:val="center"/>
            </w:pPr>
            <w:r>
              <w:t>Yes</w:t>
            </w:r>
          </w:p>
        </w:tc>
        <w:tc>
          <w:p>
            <w:pPr>
              <w:pStyle w:val="Normal"/>
              <w:jc w:val="center"/>
            </w:pPr>
            <w:r>
              <w:t>Yes</w:t>
            </w:r>
          </w:p>
        </w:tc>
        <w:tc>
          <w:p>
            <w:pPr>
              <w:pStyle w:val="Normal"/>
              <w:jc w:val="center"/>
            </w:pPr>
            <w:r>
              <w:t>Yes</w:t>
            </w:r>
          </w:p>
        </w:tc>
        <w:tc>
          <w:p>
            <w:pPr>
              <w:pStyle w:val="Normal"/>
              <w:jc w:val="center"/>
            </w:pPr>
            <w:r>
              <w:t>Yes</w:t>
            </w:r>
          </w:p>
        </w:tc>
      </w:tr>
      <w:tr>
        <w:tc>
          <w:p>
            <w:pPr>
              <w:pStyle w:val="Normal"/>
              <w:jc w:val="left"/>
            </w:pPr>
            <w:r>
              <w:t>AIC</w:t>
            </w:r>
          </w:p>
        </w:tc>
        <w:tc>
          <w:p>
            <w:pPr>
              <w:pStyle w:val="Normal"/>
              <w:jc w:val="center"/>
            </w:pPr>
            <w:r>
              <w:t>3135.7</w:t>
            </w:r>
          </w:p>
        </w:tc>
        <w:tc>
          <w:p>
            <w:pPr>
              <w:pStyle w:val="Normal"/>
              <w:jc w:val="center"/>
            </w:pPr>
            <w:r>
              <w:t>3135.3</w:t>
            </w:r>
          </w:p>
        </w:tc>
        <w:tc>
          <w:p>
            <w:pPr>
              <w:pStyle w:val="Normal"/>
              <w:jc w:val="center"/>
            </w:pPr>
            <w:r>
              <w:t>2925.8</w:t>
            </w:r>
          </w:p>
        </w:tc>
        <w:tc>
          <w:p>
            <w:pPr>
              <w:pStyle w:val="Normal"/>
              <w:jc w:val="center"/>
            </w:pPr>
            <w:r>
              <w:t>2905.5</w:t>
            </w:r>
          </w:p>
        </w:tc>
      </w:tr>
      <w:tr>
        <w:tc>
          <w:p>
            <w:pPr>
              <w:pStyle w:val="Normal"/>
              <w:jc w:val="left"/>
            </w:pPr>
            <w:r>
              <w:t>No. of meta-analyses</w:t>
            </w:r>
          </w:p>
        </w:tc>
        <w:tc>
          <w:p>
            <w:pPr>
              <w:pStyle w:val="Normal"/>
              <w:jc w:val="center"/>
            </w:pPr>
            <w:r>
              <w:t>614</w:t>
            </w:r>
          </w:p>
        </w:tc>
        <w:tc>
          <w:p>
            <w:pPr>
              <w:pStyle w:val="Normal"/>
              <w:jc w:val="center"/>
            </w:pPr>
            <w:r>
              <w:t>614</w:t>
            </w:r>
          </w:p>
        </w:tc>
        <w:tc>
          <w:p>
            <w:pPr>
              <w:pStyle w:val="Normal"/>
              <w:jc w:val="center"/>
            </w:pPr>
            <w:r>
              <w:t>585</w:t>
            </w:r>
          </w:p>
        </w:tc>
        <w:tc>
          <w:p>
            <w:pPr>
              <w:pStyle w:val="Normal"/>
              <w:jc w:val="center"/>
            </w:pPr>
            <w:r>
              <w:t>585</w:t>
            </w:r>
          </w:p>
        </w:tc>
      </w:tr>
    </w:tbl>
    <w:p>
      <w:pPr>
        <w:pStyle w:val="Normal"/>
      </w:pPr>
      <w:r>
        <w:t xml:space="preserve">Note. The meta-average multiplier is 0.5. Cluster-robust standard errors in parentheses. * p &lt; .10; ** p &lt; .05; *** p &lt; .01. Ecology is the reference subfield.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2026-09-04T05:59:57Z</dcterms:modified>
  <cp:category/>
</cp:coreProperties>
</file>