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Small-study effects (%)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15.7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15.4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20.0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7.5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15.9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5.3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22.4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4.9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2026-08-11T12:57:14Z</dcterms:modified>
  <cp:category/>
</cp:coreProperties>
</file>