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Subfield</w:t>
            </w:r>
          </w:p>
        </w:tc>
        <w:tc>
          <w:p>
            <w:pPr>
              <w:pStyle w:val="Normal"/>
              <w:jc w:val="center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No. of primary estimates</w:t>
            </w:r>
          </w:p>
        </w:tc>
        <w:tc>
          <w:p>
            <w:pPr>
              <w:pStyle w:val="Normal"/>
              <w:jc w:val="center"/>
            </w:pPr>
            <w:r>
              <w:t>Median of medians</w:t>
            </w:r>
          </w:p>
        </w:tc>
        <w:tc>
          <w:p>
            <w:pPr>
              <w:pStyle w:val="Normal"/>
              <w:jc w:val="center"/>
            </w:pPr>
            <w:r>
              <w:t>Median</w:t>
            </w:r>
          </w:p>
        </w:tc>
        <w:tc>
          <w:p>
            <w:pPr>
              <w:pStyle w:val="Normal"/>
              <w:jc w:val="center"/>
            </w:pPr>
            <w:r>
              <w:t>Mean</w:t>
            </w:r>
          </w:p>
        </w:tc>
        <w:tc>
          <w:p>
            <w:pPr>
              <w:pStyle w:val="Normal"/>
              <w:jc w:val="center"/>
            </w:pPr>
            <w:r>
              <w:t>Q25</w:t>
            </w:r>
          </w:p>
        </w:tc>
        <w:tc>
          <w:p>
            <w:pPr>
              <w:pStyle w:val="Normal"/>
              <w:jc w:val="center"/>
            </w:pPr>
            <w:r>
              <w:t>Q75</w:t>
            </w:r>
          </w:p>
        </w:tc>
        <w:tc>
          <w:p>
            <w:pPr>
              <w:pStyle w:val="Normal"/>
              <w:jc w:val="center"/>
            </w:pPr>
            <w:r>
              <w:t>SAPE</w:t>
            </w:r>
          </w:p>
        </w:tc>
      </w:tr>
      <w:tr>
        <w:tc>
          <w:p>
            <w:pPr>
              <w:pStyle w:val="Normal"/>
              <w:jc w:val="left"/>
            </w:pPr>
            <w:r>
              <w:t>All meta-analyses</w:t>
            </w:r>
          </w:p>
        </w:tc>
        <w:tc>
          <w:p>
            <w:pPr>
              <w:pStyle w:val="Normal"/>
              <w:jc w:val="center"/>
            </w:pPr>
            <w:r>
              <w:t>665</w:t>
            </w:r>
          </w:p>
        </w:tc>
        <w:tc>
          <w:p>
            <w:pPr>
              <w:pStyle w:val="Normal"/>
              <w:jc w:val="center"/>
            </w:pPr>
            <w:r>
              <w:t>33590</w:t>
            </w:r>
          </w:p>
        </w:tc>
        <w:tc>
          <w:p>
            <w:pPr>
              <w:pStyle w:val="Normal"/>
              <w:jc w:val="center"/>
            </w:pPr>
            <w:r>
              <w:t>0.17</w:t>
            </w:r>
          </w:p>
        </w:tc>
        <w:tc>
          <w:p>
            <w:pPr>
              <w:pStyle w:val="Normal"/>
              <w:jc w:val="center"/>
            </w:pPr>
            <w:r>
              <w:t>0.32</w:t>
            </w:r>
          </w:p>
        </w:tc>
        <w:tc>
          <w:p>
            <w:pPr>
              <w:pStyle w:val="Normal"/>
              <w:jc w:val="center"/>
            </w:pPr>
            <w:r>
              <w:t>0.47</w:t>
            </w:r>
          </w:p>
        </w:tc>
        <w:tc>
          <w:p>
            <w:pPr>
              <w:pStyle w:val="Normal"/>
              <w:jc w:val="center"/>
            </w:pPr>
            <w:r>
              <w:t>0.12</w:t>
            </w:r>
          </w:p>
        </w:tc>
        <w:tc>
          <w:p>
            <w:pPr>
              <w:pStyle w:val="Normal"/>
              <w:jc w:val="center"/>
            </w:pPr>
            <w:r>
              <w:t>0.97</w:t>
            </w:r>
          </w:p>
        </w:tc>
        <w:tc>
          <w:p>
            <w:pPr>
              <w:pStyle w:val="Normal"/>
              <w:jc w:val="center"/>
            </w:pPr>
            <w:r>
              <w:t>0.31</w:t>
            </w:r>
          </w:p>
        </w:tc>
      </w:tr>
      <w:tr>
        <w:tc>
          <w:p>
            <w:pPr>
              <w:pStyle w:val="Normal"/>
              <w:jc w:val="left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156</w:t>
            </w:r>
          </w:p>
        </w:tc>
        <w:tc>
          <w:p>
            <w:pPr>
              <w:pStyle w:val="Normal"/>
              <w:jc w:val="center"/>
            </w:pPr>
            <w:r>
              <w:t>10597</w:t>
            </w:r>
          </w:p>
        </w:tc>
        <w:tc>
          <w:p>
            <w:pPr>
              <w:pStyle w:val="Normal"/>
              <w:jc w:val="center"/>
            </w:pPr>
            <w:r>
              <w:t>0.14</w:t>
            </w:r>
          </w:p>
        </w:tc>
        <w:tc>
          <w:p>
            <w:pPr>
              <w:pStyle w:val="Normal"/>
              <w:jc w:val="center"/>
            </w:pPr>
            <w:r>
              <w:t>0.30</w:t>
            </w:r>
          </w:p>
        </w:tc>
        <w:tc>
          <w:p>
            <w:pPr>
              <w:pStyle w:val="Normal"/>
              <w:jc w:val="center"/>
            </w:pPr>
            <w:r>
              <w:t>0.46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0.95</w:t>
            </w:r>
          </w:p>
        </w:tc>
        <w:tc>
          <w:p>
            <w:pPr>
              <w:pStyle w:val="Normal"/>
              <w:jc w:val="center"/>
            </w:pPr>
            <w:r>
              <w:t>0.30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64</w:t>
            </w:r>
          </w:p>
        </w:tc>
        <w:tc>
          <w:p>
            <w:pPr>
              <w:pStyle w:val="Normal"/>
              <w:jc w:val="center"/>
            </w:pPr>
            <w:r>
              <w:t>3674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0.16</w:t>
            </w:r>
          </w:p>
        </w:tc>
        <w:tc>
          <w:p>
            <w:pPr>
              <w:pStyle w:val="Normal"/>
              <w:jc w:val="center"/>
            </w:pPr>
            <w:r>
              <w:t>0.35</w:t>
            </w:r>
          </w:p>
        </w:tc>
        <w:tc>
          <w:p>
            <w:pPr>
              <w:pStyle w:val="Normal"/>
              <w:jc w:val="center"/>
            </w:pPr>
            <w:r>
              <w:t>0.08</w:t>
            </w:r>
          </w:p>
        </w:tc>
        <w:tc>
          <w:p>
            <w:pPr>
              <w:pStyle w:val="Normal"/>
              <w:jc w:val="center"/>
            </w:pPr>
            <w:r>
              <w:t>0.59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40</w:t>
            </w:r>
          </w:p>
        </w:tc>
        <w:tc>
          <w:p>
            <w:pPr>
              <w:pStyle w:val="Normal"/>
              <w:jc w:val="center"/>
            </w:pPr>
            <w:r>
              <w:t>6804</w:t>
            </w:r>
          </w:p>
        </w:tc>
        <w:tc>
          <w:p>
            <w:pPr>
              <w:pStyle w:val="Normal"/>
              <w:jc w:val="center"/>
            </w:pPr>
            <w:r>
              <w:t>0.29</w:t>
            </w:r>
          </w:p>
        </w:tc>
        <w:tc>
          <w:p>
            <w:pPr>
              <w:pStyle w:val="Normal"/>
              <w:jc w:val="center"/>
            </w:pPr>
            <w:r>
              <w:t>0.25</w:t>
            </w:r>
          </w:p>
        </w:tc>
        <w:tc>
          <w:p>
            <w:pPr>
              <w:pStyle w:val="Normal"/>
              <w:jc w:val="center"/>
            </w:pPr>
            <w:r>
              <w:t>0.41</w:t>
            </w:r>
          </w:p>
        </w:tc>
        <w:tc>
          <w:p>
            <w:pPr>
              <w:pStyle w:val="Normal"/>
              <w:jc w:val="center"/>
            </w:pPr>
            <w:r>
              <w:t>0.14</w:t>
            </w:r>
          </w:p>
        </w:tc>
        <w:tc>
          <w:p>
            <w:pPr>
              <w:pStyle w:val="Normal"/>
              <w:jc w:val="center"/>
            </w:pPr>
            <w:r>
              <w:t>0.67</w:t>
            </w:r>
          </w:p>
        </w:tc>
        <w:tc>
          <w:p>
            <w:pPr>
              <w:pStyle w:val="Normal"/>
              <w:jc w:val="center"/>
            </w:pPr>
            <w:r>
              <w:t>0.21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254</w:t>
            </w:r>
          </w:p>
        </w:tc>
        <w:tc>
          <w:p>
            <w:pPr>
              <w:pStyle w:val="Normal"/>
              <w:jc w:val="center"/>
            </w:pPr>
            <w:r>
              <w:t>4976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0.68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0.58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17</w:t>
            </w:r>
          </w:p>
        </w:tc>
        <w:tc>
          <w:p>
            <w:pPr>
              <w:pStyle w:val="Normal"/>
              <w:jc w:val="center"/>
            </w:pPr>
            <w:r>
              <w:t> 370</w:t>
            </w:r>
          </w:p>
        </w:tc>
        <w:tc>
          <w:p>
            <w:pPr>
              <w:pStyle w:val="Normal"/>
              <w:jc w:val="center"/>
            </w:pPr>
            <w:r>
              <w:t>0.12</w:t>
            </w:r>
          </w:p>
        </w:tc>
        <w:tc>
          <w:p>
            <w:pPr>
              <w:pStyle w:val="Normal"/>
              <w:jc w:val="center"/>
            </w:pPr>
            <w:r>
              <w:t>0.17</w:t>
            </w:r>
          </w:p>
        </w:tc>
        <w:tc>
          <w:p>
            <w:pPr>
              <w:pStyle w:val="Normal"/>
              <w:jc w:val="center"/>
            </w:pPr>
            <w:r>
              <w:t>0.32</w:t>
            </w:r>
          </w:p>
        </w:tc>
        <w:tc>
          <w:p>
            <w:pPr>
              <w:pStyle w:val="Normal"/>
              <w:jc w:val="center"/>
            </w:pPr>
            <w:r>
              <w:t>0.08</w:t>
            </w:r>
          </w:p>
        </w:tc>
        <w:tc>
          <w:p>
            <w:pPr>
              <w:pStyle w:val="Normal"/>
              <w:jc w:val="center"/>
            </w:pPr>
            <w:r>
              <w:t>0.49</w:t>
            </w:r>
          </w:p>
        </w:tc>
        <w:tc>
          <w:p>
            <w:pPr>
              <w:pStyle w:val="Normal"/>
              <w:jc w:val="center"/>
            </w:pPr>
            <w:r>
              <w:t>0.14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93</w:t>
            </w:r>
          </w:p>
        </w:tc>
        <w:tc>
          <w:p>
            <w:pPr>
              <w:pStyle w:val="Normal"/>
              <w:jc w:val="center"/>
            </w:pPr>
            <w:r>
              <w:t>6706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0.36</w:t>
            </w:r>
          </w:p>
        </w:tc>
        <w:tc>
          <w:p>
            <w:pPr>
              <w:pStyle w:val="Normal"/>
              <w:jc w:val="center"/>
            </w:pPr>
            <w:r>
              <w:t>0.48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  <w:tc>
          <w:p>
            <w:pPr>
              <w:pStyle w:val="Normal"/>
              <w:jc w:val="center"/>
            </w:pPr>
            <w:r>
              <w:t>0.94</w:t>
            </w:r>
          </w:p>
        </w:tc>
        <w:tc>
          <w:p>
            <w:pPr>
              <w:pStyle w:val="Normal"/>
              <w:jc w:val="center"/>
            </w:pPr>
            <w:r>
              <w:t>0.31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>41</w:t>
            </w:r>
          </w:p>
        </w:tc>
        <w:tc>
          <w:p>
            <w:pPr>
              <w:pStyle w:val="Normal"/>
              <w:jc w:val="center"/>
            </w:pPr>
            <w:r>
              <w:t> 463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  <w:tc>
          <w:p>
            <w:pPr>
              <w:pStyle w:val="Normal"/>
              <w:jc w:val="center"/>
            </w:pPr>
            <w:r>
              <w:t>0.45</w:t>
            </w:r>
          </w:p>
        </w:tc>
        <w:tc>
          <w:p>
            <w:pPr>
              <w:pStyle w:val="Normal"/>
              <w:jc w:val="center"/>
            </w:pPr>
            <w:r>
              <w:t>0.53</w:t>
            </w:r>
          </w:p>
        </w:tc>
        <w:tc>
          <w:p>
            <w:pPr>
              <w:pStyle w:val="Normal"/>
              <w:jc w:val="center"/>
            </w:pPr>
            <w:r>
              <w:t>0.17</w:t>
            </w:r>
          </w:p>
        </w:tc>
        <w:tc>
          <w:p>
            <w:pPr>
              <w:pStyle w:val="Normal"/>
              <w:jc w:val="center"/>
            </w:pPr>
            <w:r>
              <w:t>0.97</w:t>
            </w:r>
          </w:p>
        </w:tc>
        <w:tc>
          <w:p>
            <w:pPr>
              <w:pStyle w:val="Normal"/>
              <w:jc w:val="center"/>
            </w:pPr>
            <w:r>
              <w:t>0.36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2026-08-08T15:19:46Z</dcterms:modified>
  <cp:category/>
</cp:coreProperties>
</file>