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hint="eastAsia" w:ascii="宋体" w:hAnsi="宋体" w:eastAsia="宋体" w:cs="宋体"/>
          <w:sz w:val="20"/>
        </w:rPr>
      </w:pPr>
    </w:p>
    <w:p>
      <w:pPr>
        <w:pStyle w:val="3"/>
        <w:rPr>
          <w:rFonts w:hint="eastAsia" w:ascii="宋体" w:hAnsi="宋体" w:eastAsia="宋体" w:cs="宋体"/>
          <w:sz w:val="20"/>
        </w:rPr>
      </w:pPr>
    </w:p>
    <w:p>
      <w:pPr>
        <w:pStyle w:val="3"/>
        <w:rPr>
          <w:rFonts w:hint="eastAsia" w:ascii="宋体" w:hAnsi="宋体" w:eastAsia="宋体" w:cs="宋体"/>
          <w:sz w:val="20"/>
        </w:rPr>
      </w:pPr>
    </w:p>
    <w:p>
      <w:pPr>
        <w:pStyle w:val="3"/>
        <w:rPr>
          <w:rFonts w:hint="eastAsia" w:ascii="宋体" w:hAnsi="宋体" w:eastAsia="宋体" w:cs="宋体"/>
          <w:sz w:val="20"/>
        </w:rPr>
      </w:pPr>
    </w:p>
    <w:p>
      <w:pPr>
        <w:pStyle w:val="3"/>
        <w:rPr>
          <w:rFonts w:hint="eastAsia" w:ascii="宋体" w:hAnsi="宋体" w:eastAsia="宋体" w:cs="宋体"/>
          <w:sz w:val="20"/>
        </w:rPr>
      </w:pPr>
    </w:p>
    <w:p>
      <w:pPr>
        <w:pStyle w:val="3"/>
        <w:rPr>
          <w:rFonts w:hint="eastAsia" w:ascii="宋体" w:hAnsi="宋体" w:eastAsia="宋体" w:cs="宋体"/>
          <w:sz w:val="20"/>
        </w:rPr>
      </w:pPr>
    </w:p>
    <w:p>
      <w:pPr>
        <w:pStyle w:val="3"/>
        <w:rPr>
          <w:rFonts w:hint="eastAsia" w:ascii="宋体" w:hAnsi="宋体" w:eastAsia="宋体" w:cs="宋体"/>
          <w:sz w:val="20"/>
        </w:rPr>
      </w:pPr>
    </w:p>
    <w:p>
      <w:pPr>
        <w:pStyle w:val="3"/>
        <w:rPr>
          <w:rFonts w:hint="eastAsia" w:ascii="宋体" w:hAnsi="宋体" w:eastAsia="宋体" w:cs="宋体"/>
          <w:sz w:val="20"/>
        </w:rPr>
      </w:pPr>
    </w:p>
    <w:p>
      <w:pPr>
        <w:pStyle w:val="3"/>
        <w:rPr>
          <w:rFonts w:hint="eastAsia" w:ascii="宋体" w:hAnsi="宋体" w:eastAsia="宋体" w:cs="宋体"/>
          <w:sz w:val="20"/>
        </w:rPr>
      </w:pPr>
    </w:p>
    <w:p>
      <w:pPr>
        <w:pStyle w:val="3"/>
        <w:rPr>
          <w:rFonts w:hint="eastAsia" w:ascii="宋体" w:hAnsi="宋体" w:eastAsia="宋体" w:cs="宋体"/>
          <w:sz w:val="20"/>
        </w:rPr>
      </w:pPr>
    </w:p>
    <w:p>
      <w:pPr>
        <w:pStyle w:val="3"/>
        <w:rPr>
          <w:rFonts w:hint="eastAsia" w:ascii="宋体" w:hAnsi="宋体" w:eastAsia="宋体" w:cs="宋体"/>
          <w:sz w:val="20"/>
        </w:rPr>
      </w:pPr>
    </w:p>
    <w:p>
      <w:pPr>
        <w:pStyle w:val="3"/>
        <w:rPr>
          <w:rFonts w:hint="eastAsia" w:ascii="宋体" w:hAnsi="宋体" w:eastAsia="宋体" w:cs="宋体"/>
          <w:sz w:val="20"/>
        </w:rPr>
      </w:pPr>
    </w:p>
    <w:p>
      <w:pPr>
        <w:pStyle w:val="3"/>
        <w:rPr>
          <w:rFonts w:hint="eastAsia" w:ascii="宋体" w:hAnsi="宋体" w:eastAsia="宋体" w:cs="宋体"/>
          <w:sz w:val="20"/>
        </w:rPr>
      </w:pPr>
    </w:p>
    <w:p>
      <w:pPr>
        <w:pStyle w:val="3"/>
        <w:rPr>
          <w:rFonts w:hint="eastAsia" w:ascii="宋体" w:hAnsi="宋体" w:eastAsia="宋体" w:cs="宋体"/>
          <w:sz w:val="20"/>
        </w:rPr>
      </w:pPr>
    </w:p>
    <w:p>
      <w:pPr>
        <w:pStyle w:val="3"/>
        <w:rPr>
          <w:rFonts w:hint="eastAsia" w:ascii="宋体" w:hAnsi="宋体" w:eastAsia="宋体" w:cs="宋体"/>
          <w:sz w:val="20"/>
        </w:rPr>
      </w:pPr>
    </w:p>
    <w:p>
      <w:pPr>
        <w:pStyle w:val="3"/>
        <w:rPr>
          <w:rFonts w:hint="eastAsia" w:ascii="宋体" w:hAnsi="宋体" w:eastAsia="宋体" w:cs="宋体"/>
          <w:sz w:val="20"/>
        </w:rPr>
      </w:pPr>
    </w:p>
    <w:p>
      <w:pPr>
        <w:pStyle w:val="3"/>
        <w:rPr>
          <w:rFonts w:hint="eastAsia" w:ascii="宋体" w:hAnsi="宋体" w:eastAsia="宋体" w:cs="宋体"/>
          <w:sz w:val="20"/>
        </w:rPr>
      </w:pPr>
    </w:p>
    <w:p>
      <w:pPr>
        <w:pStyle w:val="3"/>
        <w:rPr>
          <w:rFonts w:hint="eastAsia" w:ascii="宋体" w:hAnsi="宋体" w:eastAsia="宋体" w:cs="宋体"/>
          <w:sz w:val="20"/>
        </w:rPr>
      </w:pPr>
    </w:p>
    <w:p>
      <w:pPr>
        <w:spacing w:before="0" w:line="1057" w:lineRule="exact"/>
        <w:ind w:right="0"/>
        <w:jc w:val="both"/>
        <w:rPr>
          <w:rFonts w:hint="eastAsia" w:ascii="宋体" w:hAnsi="宋体" w:eastAsia="宋体" w:cs="宋体"/>
          <w:b w:val="0"/>
          <w:sz w:val="52"/>
        </w:rPr>
      </w:pPr>
      <w:r>
        <w:rPr>
          <w:rFonts w:hint="eastAsia" w:ascii="宋体" w:hAnsi="宋体" w:eastAsia="宋体" w:cs="宋体"/>
          <w:b/>
          <w:sz w:val="52"/>
        </w:rPr>
        <w:t>&lt;</w:t>
      </w:r>
      <w:r>
        <w:rPr>
          <w:rFonts w:hint="eastAsia" w:ascii="宋体" w:hAnsi="宋体" w:eastAsia="宋体" w:cs="宋体"/>
          <w:b/>
          <w:sz w:val="52"/>
          <w:lang w:val="en-US" w:eastAsia="zh-CN"/>
        </w:rPr>
        <w:t>健康探测机制</w:t>
      </w:r>
      <w:r>
        <w:rPr>
          <w:rFonts w:hint="eastAsia" w:ascii="宋体" w:hAnsi="宋体" w:eastAsia="宋体" w:cs="宋体"/>
          <w:b/>
          <w:sz w:val="52"/>
        </w:rPr>
        <w:t>&gt;</w:t>
      </w:r>
      <w:r>
        <w:rPr>
          <w:rFonts w:hint="eastAsia" w:ascii="宋体" w:hAnsi="宋体" w:eastAsia="宋体" w:cs="宋体"/>
          <w:b w:val="0"/>
          <w:sz w:val="52"/>
        </w:rPr>
        <w:t>产品需求说明书</w:t>
      </w:r>
    </w:p>
    <w:p>
      <w:pPr>
        <w:pStyle w:val="3"/>
        <w:rPr>
          <w:rFonts w:hint="eastAsia" w:ascii="宋体" w:hAnsi="宋体" w:eastAsia="宋体" w:cs="宋体"/>
          <w:b w:val="0"/>
          <w:sz w:val="20"/>
        </w:rPr>
      </w:pPr>
    </w:p>
    <w:p>
      <w:pPr>
        <w:pStyle w:val="3"/>
        <w:rPr>
          <w:rFonts w:hint="eastAsia" w:ascii="宋体" w:hAnsi="宋体" w:eastAsia="宋体" w:cs="宋体"/>
          <w:b w:val="0"/>
          <w:sz w:val="20"/>
        </w:rPr>
      </w:pPr>
    </w:p>
    <w:p>
      <w:pPr>
        <w:pStyle w:val="3"/>
        <w:spacing w:before="11"/>
        <w:rPr>
          <w:rFonts w:hint="eastAsia" w:ascii="宋体" w:hAnsi="宋体" w:eastAsia="宋体" w:cs="宋体"/>
          <w:b w:val="0"/>
          <w:sz w:val="16"/>
        </w:rPr>
      </w:pPr>
    </w:p>
    <w:tbl>
      <w:tblPr>
        <w:tblStyle w:val="6"/>
        <w:tblW w:w="0" w:type="auto"/>
        <w:tblInd w:w="68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77"/>
        <w:gridCol w:w="2501"/>
        <w:gridCol w:w="1680"/>
        <w:gridCol w:w="163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1577" w:type="dxa"/>
          </w:tcPr>
          <w:p>
            <w:pPr>
              <w:pStyle w:val="11"/>
              <w:spacing w:before="8"/>
              <w:ind w:right="144"/>
              <w:jc w:val="righ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文档版本号：</w:t>
            </w:r>
          </w:p>
        </w:tc>
        <w:tc>
          <w:tcPr>
            <w:tcW w:w="2501" w:type="dxa"/>
          </w:tcPr>
          <w:p>
            <w:pPr>
              <w:pStyle w:val="11"/>
              <w:spacing w:before="119"/>
              <w:ind w:left="105"/>
              <w:rPr>
                <w:rFonts w:hint="eastAsia" w:ascii="宋体" w:hAnsi="宋体" w:eastAsia="宋体" w:cs="宋体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lang w:val="en-US" w:eastAsia="zh-CN"/>
              </w:rPr>
              <w:t>1.0</w:t>
            </w:r>
          </w:p>
        </w:tc>
        <w:tc>
          <w:tcPr>
            <w:tcW w:w="1680" w:type="dxa"/>
          </w:tcPr>
          <w:p>
            <w:pPr>
              <w:pStyle w:val="11"/>
              <w:spacing w:before="8"/>
              <w:ind w:left="78" w:right="71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文档编号：</w:t>
            </w:r>
          </w:p>
        </w:tc>
        <w:tc>
          <w:tcPr>
            <w:tcW w:w="1635" w:type="dxa"/>
          </w:tcPr>
          <w:p>
            <w:pPr>
              <w:pStyle w:val="11"/>
              <w:rPr>
                <w:rFonts w:hint="eastAsia" w:ascii="宋体" w:hAnsi="宋体" w:eastAsia="宋体" w:cs="宋体"/>
                <w:sz w:val="2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577" w:type="dxa"/>
          </w:tcPr>
          <w:p>
            <w:pPr>
              <w:pStyle w:val="11"/>
              <w:spacing w:line="397" w:lineRule="exact"/>
              <w:ind w:right="144"/>
              <w:jc w:val="right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文档密级：</w:t>
            </w:r>
          </w:p>
        </w:tc>
        <w:tc>
          <w:tcPr>
            <w:tcW w:w="2501" w:type="dxa"/>
          </w:tcPr>
          <w:p>
            <w:pPr>
              <w:pStyle w:val="11"/>
              <w:spacing w:line="397" w:lineRule="exact"/>
              <w:ind w:left="105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w w:val="100"/>
                <w:sz w:val="21"/>
              </w:rPr>
              <w:t>高</w:t>
            </w:r>
          </w:p>
        </w:tc>
        <w:tc>
          <w:tcPr>
            <w:tcW w:w="1680" w:type="dxa"/>
          </w:tcPr>
          <w:p>
            <w:pPr>
              <w:pStyle w:val="11"/>
              <w:spacing w:line="397" w:lineRule="exact"/>
              <w:ind w:left="85" w:right="71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归属部门/项目：</w:t>
            </w:r>
          </w:p>
        </w:tc>
        <w:tc>
          <w:tcPr>
            <w:tcW w:w="1635" w:type="dxa"/>
          </w:tcPr>
          <w:p>
            <w:pPr>
              <w:pStyle w:val="11"/>
              <w:spacing w:line="397" w:lineRule="exact"/>
              <w:ind w:left="106"/>
              <w:rPr>
                <w:rFonts w:hint="eastAsia" w:ascii="宋体" w:hAnsi="宋体" w:eastAsia="宋体" w:cs="宋体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lang w:val="en-US" w:eastAsia="zh-CN"/>
              </w:rPr>
              <w:t>数字零售部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577" w:type="dxa"/>
          </w:tcPr>
          <w:p>
            <w:pPr>
              <w:pStyle w:val="11"/>
              <w:spacing w:line="359" w:lineRule="exact"/>
              <w:ind w:left="367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产品名：</w:t>
            </w:r>
          </w:p>
        </w:tc>
        <w:tc>
          <w:tcPr>
            <w:tcW w:w="2501" w:type="dxa"/>
          </w:tcPr>
          <w:p>
            <w:pPr>
              <w:pStyle w:val="11"/>
              <w:spacing w:line="359" w:lineRule="exact"/>
              <w:ind w:left="105"/>
              <w:rPr>
                <w:rFonts w:hint="default" w:ascii="宋体" w:hAnsi="宋体" w:eastAsia="宋体" w:cs="宋体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lang w:val="en-US" w:eastAsia="zh-CN"/>
              </w:rPr>
              <w:t>Switch集成管理系统-健康探测机制</w:t>
            </w:r>
          </w:p>
        </w:tc>
        <w:tc>
          <w:tcPr>
            <w:tcW w:w="1680" w:type="dxa"/>
          </w:tcPr>
          <w:p>
            <w:pPr>
              <w:pStyle w:val="11"/>
              <w:spacing w:line="359" w:lineRule="exact"/>
              <w:ind w:left="78" w:right="71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子系统名：</w:t>
            </w:r>
          </w:p>
        </w:tc>
        <w:tc>
          <w:tcPr>
            <w:tcW w:w="1635" w:type="dxa"/>
          </w:tcPr>
          <w:p>
            <w:pPr>
              <w:pStyle w:val="11"/>
              <w:rPr>
                <w:rFonts w:hint="eastAsia" w:ascii="宋体" w:hAnsi="宋体" w:eastAsia="宋体" w:cs="宋体"/>
                <w:sz w:val="2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77" w:type="dxa"/>
          </w:tcPr>
          <w:p>
            <w:pPr>
              <w:pStyle w:val="11"/>
              <w:spacing w:line="292" w:lineRule="exact"/>
              <w:ind w:left="367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编写人：</w:t>
            </w:r>
          </w:p>
        </w:tc>
        <w:tc>
          <w:tcPr>
            <w:tcW w:w="2501" w:type="dxa"/>
          </w:tcPr>
          <w:p>
            <w:pPr>
              <w:pStyle w:val="11"/>
              <w:spacing w:line="292" w:lineRule="exact"/>
              <w:ind w:left="105"/>
              <w:rPr>
                <w:rFonts w:hint="eastAsia" w:ascii="宋体" w:hAnsi="宋体" w:eastAsia="宋体" w:cs="宋体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lang w:val="en-US" w:eastAsia="zh-CN"/>
              </w:rPr>
              <w:t>傅强</w:t>
            </w:r>
          </w:p>
        </w:tc>
        <w:tc>
          <w:tcPr>
            <w:tcW w:w="1680" w:type="dxa"/>
          </w:tcPr>
          <w:p>
            <w:pPr>
              <w:pStyle w:val="11"/>
              <w:spacing w:line="292" w:lineRule="exact"/>
              <w:ind w:left="78" w:right="71"/>
              <w:jc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编写日期：</w:t>
            </w:r>
          </w:p>
        </w:tc>
        <w:tc>
          <w:tcPr>
            <w:tcW w:w="1635" w:type="dxa"/>
          </w:tcPr>
          <w:p>
            <w:pPr>
              <w:pStyle w:val="11"/>
              <w:spacing w:before="33"/>
              <w:ind w:left="106"/>
              <w:rPr>
                <w:rFonts w:hint="default" w:ascii="宋体" w:hAnsi="宋体" w:eastAsia="宋体" w:cs="宋体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</w:rPr>
              <w:t>20</w:t>
            </w:r>
            <w:r>
              <w:rPr>
                <w:rFonts w:hint="eastAsia" w:ascii="宋体" w:hAnsi="宋体" w:eastAsia="宋体" w:cs="宋体"/>
                <w:sz w:val="21"/>
                <w:lang w:val="en-US" w:eastAsia="zh-CN"/>
              </w:rPr>
              <w:t>25</w:t>
            </w:r>
            <w:r>
              <w:rPr>
                <w:rFonts w:hint="eastAsia" w:ascii="宋体" w:hAnsi="宋体" w:eastAsia="宋体" w:cs="宋体"/>
                <w:sz w:val="21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lang w:val="en-US" w:eastAsia="zh-CN"/>
              </w:rPr>
              <w:t>03</w:t>
            </w:r>
            <w:r>
              <w:rPr>
                <w:rFonts w:hint="eastAsia" w:ascii="宋体" w:hAnsi="宋体" w:eastAsia="宋体" w:cs="宋体"/>
                <w:sz w:val="21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lang w:val="en-US" w:eastAsia="zh-CN"/>
              </w:rPr>
              <w:t>17</w:t>
            </w:r>
          </w:p>
        </w:tc>
      </w:tr>
    </w:tbl>
    <w:p>
      <w:pPr>
        <w:spacing w:after="0"/>
        <w:rPr>
          <w:rFonts w:hint="eastAsia" w:ascii="宋体" w:hAnsi="宋体" w:eastAsia="宋体" w:cs="宋体"/>
          <w:sz w:val="21"/>
        </w:rPr>
        <w:sectPr>
          <w:type w:val="continuous"/>
          <w:pgSz w:w="11910" w:h="16840"/>
          <w:pgMar w:top="1580" w:right="1320" w:bottom="280" w:left="1580" w:header="720" w:footer="720" w:gutter="0"/>
          <w:cols w:space="720" w:num="1"/>
        </w:sectPr>
      </w:pPr>
    </w:p>
    <w:p>
      <w:pPr>
        <w:spacing w:before="0" w:line="471" w:lineRule="exact"/>
        <w:ind w:left="220" w:right="0" w:firstLine="0"/>
        <w:jc w:val="left"/>
        <w:rPr>
          <w:rFonts w:hint="eastAsia" w:ascii="宋体" w:hAnsi="宋体" w:eastAsia="宋体" w:cs="宋体"/>
          <w:b w:val="0"/>
          <w:sz w:val="28"/>
        </w:rPr>
      </w:pPr>
      <w:r>
        <w:rPr>
          <w:rFonts w:hint="eastAsia" w:ascii="宋体" w:hAnsi="宋体" w:eastAsia="宋体" w:cs="宋体"/>
          <w:b w:val="0"/>
          <w:color w:val="365F91"/>
          <w:sz w:val="28"/>
        </w:rPr>
        <w:t>目录</w:t>
      </w:r>
    </w:p>
    <w:sdt>
      <w:sdtPr>
        <w:rPr>
          <w:rFonts w:ascii="宋体" w:hAnsi="宋体" w:eastAsia="宋体" w:cs="Noto Sans CJK JP Black"/>
          <w:sz w:val="21"/>
          <w:szCs w:val="22"/>
          <w:lang w:val="en-US" w:eastAsia="zh-CN" w:bidi="ar-SA"/>
        </w:rPr>
        <w:id w:val="147460710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z w:val="22"/>
          <w:szCs w:val="22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5"/>
            <w:tabs>
              <w:tab w:val="right" w:leader="dot" w:pos="901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_Toc19875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一、目的</w:t>
          </w:r>
          <w:r>
            <w:tab/>
          </w:r>
          <w:r>
            <w:fldChar w:fldCharType="begin"/>
          </w:r>
          <w:r>
            <w:instrText xml:space="preserve"> PAGEREF _Toc19875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5"/>
            <w:tabs>
              <w:tab w:val="right" w:leader="dot" w:pos="901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_Toc19362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二、</w:t>
          </w:r>
          <w:r>
            <w:rPr>
              <w:rFonts w:hint="eastAsia" w:ascii="宋体" w:hAnsi="宋体" w:eastAsia="宋体" w:cs="宋体"/>
            </w:rPr>
            <w:t>功能说明</w:t>
          </w:r>
          <w:r>
            <w:tab/>
          </w:r>
          <w:r>
            <w:fldChar w:fldCharType="begin"/>
          </w:r>
          <w:r>
            <w:instrText xml:space="preserve"> PAGEREF _Toc19362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5"/>
            <w:tabs>
              <w:tab w:val="right" w:leader="dot" w:pos="901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_Toc28013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 xml:space="preserve">2.1 </w:t>
          </w:r>
          <w:r>
            <w:rPr>
              <w:rFonts w:hint="eastAsia" w:ascii="宋体" w:hAnsi="宋体" w:eastAsia="宋体" w:cs="宋体"/>
            </w:rPr>
            <w:t>功能</w:t>
          </w:r>
          <w:r>
            <w:rPr>
              <w:rFonts w:hint="eastAsia" w:ascii="宋体" w:hAnsi="宋体" w:eastAsia="宋体" w:cs="宋体"/>
              <w:lang w:val="en-US" w:eastAsia="zh-CN"/>
            </w:rPr>
            <w:t>列表</w:t>
          </w:r>
          <w:r>
            <w:tab/>
          </w:r>
          <w:r>
            <w:fldChar w:fldCharType="begin"/>
          </w:r>
          <w:r>
            <w:instrText xml:space="preserve"> PAGEREF _Toc28013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5"/>
            <w:tabs>
              <w:tab w:val="right" w:leader="dot" w:pos="901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_Toc8994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 xml:space="preserve">2.2 </w:t>
          </w:r>
          <w:r>
            <w:rPr>
              <w:rFonts w:hint="eastAsia" w:ascii="宋体" w:hAnsi="宋体" w:eastAsia="宋体" w:cs="宋体"/>
            </w:rPr>
            <w:t>功能需</w:t>
          </w:r>
          <w:r>
            <w:rPr>
              <w:rFonts w:hint="eastAsia" w:ascii="宋体" w:hAnsi="宋体" w:eastAsia="宋体" w:cs="宋体"/>
              <w:lang w:val="en-US" w:eastAsia="zh-CN"/>
            </w:rPr>
            <w:t>求</w:t>
          </w:r>
          <w:r>
            <w:tab/>
          </w:r>
          <w:r>
            <w:fldChar w:fldCharType="begin"/>
          </w:r>
          <w:r>
            <w:instrText xml:space="preserve"> PAGEREF _Toc8994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5"/>
            <w:tabs>
              <w:tab w:val="right" w:leader="dot" w:pos="901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_Toc9589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2.2.1 健康探测</w:t>
          </w:r>
          <w:r>
            <w:tab/>
          </w:r>
          <w:r>
            <w:fldChar w:fldCharType="begin"/>
          </w:r>
          <w:r>
            <w:instrText xml:space="preserve"> PAGEREF _Toc9589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5"/>
            <w:tabs>
              <w:tab w:val="right" w:leader="dot" w:pos="901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_Toc5661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2.2.2 恢复流程</w:t>
          </w:r>
          <w:r>
            <w:tab/>
          </w:r>
          <w:r>
            <w:fldChar w:fldCharType="begin"/>
          </w:r>
          <w:r>
            <w:instrText xml:space="preserve"> PAGEREF _Toc5661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5"/>
            <w:tabs>
              <w:tab w:val="right" w:leader="dot" w:pos="901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_Toc30579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2.2.3 资金路由</w:t>
          </w:r>
          <w:r>
            <w:tab/>
          </w:r>
          <w:r>
            <w:fldChar w:fldCharType="begin"/>
          </w:r>
          <w:r>
            <w:instrText xml:space="preserve"> PAGEREF _Toc30579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5"/>
            <w:tabs>
              <w:tab w:val="right" w:leader="dot" w:pos="901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_Toc11000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2.2.4 界面原型</w:t>
          </w:r>
          <w:r>
            <w:tab/>
          </w:r>
          <w:r>
            <w:fldChar w:fldCharType="begin"/>
          </w:r>
          <w:r>
            <w:instrText xml:space="preserve"> PAGEREF _Toc11000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spacing w:after="0" w:line="379" w:lineRule="exact"/>
            <w:jc w:val="left"/>
            <w:rPr>
              <w:rFonts w:hint="eastAsia" w:ascii="宋体" w:hAnsi="宋体" w:eastAsia="宋体" w:cs="宋体"/>
            </w:rPr>
            <w:sectPr>
              <w:pgSz w:w="11910" w:h="16840"/>
              <w:pgMar w:top="1520" w:right="1320" w:bottom="280" w:left="1580" w:header="720" w:footer="720" w:gutter="0"/>
              <w:cols w:space="720" w:num="1"/>
            </w:sectPr>
          </w:pPr>
          <w:r>
            <w:rPr>
              <w:rFonts w:hint="eastAsia" w:ascii="宋体" w:hAnsi="宋体" w:eastAsia="宋体" w:cs="宋体"/>
            </w:rPr>
            <w:fldChar w:fldCharType="end"/>
          </w:r>
        </w:p>
      </w:sdtContent>
    </w:sdt>
    <w:p>
      <w:pPr>
        <w:pStyle w:val="3"/>
        <w:spacing w:before="10"/>
        <w:rPr>
          <w:rFonts w:hint="eastAsia" w:ascii="宋体" w:hAnsi="宋体" w:eastAsia="宋体" w:cs="宋体"/>
          <w:sz w:val="31"/>
        </w:rPr>
      </w:pPr>
    </w:p>
    <w:p>
      <w:pPr>
        <w:pStyle w:val="2"/>
        <w:ind w:left="220" w:firstLine="0"/>
        <w:outlineLvl w:val="0"/>
        <w:rPr>
          <w:rFonts w:hint="eastAsia" w:ascii="宋体" w:hAnsi="宋体" w:eastAsia="宋体" w:cs="宋体"/>
        </w:rPr>
      </w:pPr>
      <w:bookmarkStart w:id="0" w:name="_Toc19875"/>
      <w:r>
        <w:rPr>
          <w:rFonts w:hint="eastAsia" w:ascii="宋体" w:hAnsi="宋体" w:eastAsia="宋体" w:cs="宋体"/>
        </w:rPr>
        <w:t>一、目的</w:t>
      </w:r>
      <w:bookmarkEnd w:id="0"/>
    </w:p>
    <w:p>
      <w:pPr>
        <w:pStyle w:val="3"/>
        <w:spacing w:before="246" w:line="360" w:lineRule="auto"/>
        <w:ind w:left="220" w:right="478" w:firstLine="359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该文档旨在描述</w:t>
      </w:r>
      <w:r>
        <w:rPr>
          <w:rFonts w:hint="eastAsia" w:ascii="宋体" w:hAnsi="宋体" w:eastAsia="宋体" w:cs="宋体"/>
          <w:lang w:val="en-US" w:eastAsia="zh-CN"/>
        </w:rPr>
        <w:t>Switch集成管理系统的功能</w:t>
      </w:r>
      <w:r>
        <w:rPr>
          <w:rFonts w:hint="eastAsia" w:ascii="宋体" w:hAnsi="宋体" w:eastAsia="宋体" w:cs="宋体"/>
        </w:rPr>
        <w:t>需求，</w:t>
      </w:r>
      <w:r>
        <w:rPr>
          <w:rFonts w:hint="eastAsia" w:ascii="宋体" w:hAnsi="宋体" w:eastAsia="宋体" w:cs="宋体"/>
          <w:lang w:val="en-US" w:eastAsia="zh-CN"/>
        </w:rPr>
        <w:t>包含健康探测、熔断恢复、二次路由等模块能力建设。</w:t>
      </w:r>
    </w:p>
    <w:p>
      <w:pPr>
        <w:pStyle w:val="3"/>
        <w:spacing w:line="360" w:lineRule="auto"/>
        <w:ind w:left="220" w:right="357" w:firstLine="359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pacing w:val="-6"/>
        </w:rPr>
        <w:t>此文档主要描述</w:t>
      </w:r>
      <w:r>
        <w:rPr>
          <w:rFonts w:hint="eastAsia" w:ascii="宋体" w:hAnsi="宋体" w:eastAsia="宋体" w:cs="宋体"/>
          <w:spacing w:val="-6"/>
          <w:lang w:val="en-US" w:eastAsia="zh-CN"/>
        </w:rPr>
        <w:t>功能流程及</w:t>
      </w:r>
      <w:r>
        <w:rPr>
          <w:rFonts w:hint="eastAsia" w:ascii="宋体" w:hAnsi="宋体" w:eastAsia="宋体" w:cs="宋体"/>
        </w:rPr>
        <w:t>部分交互细节。</w:t>
      </w:r>
    </w:p>
    <w:p>
      <w:pPr>
        <w:pStyle w:val="3"/>
        <w:spacing w:before="8"/>
        <w:rPr>
          <w:rFonts w:hint="eastAsia" w:ascii="宋体" w:hAnsi="宋体" w:eastAsia="宋体" w:cs="宋体"/>
          <w:sz w:val="10"/>
        </w:rPr>
      </w:pPr>
    </w:p>
    <w:p>
      <w:pPr>
        <w:pStyle w:val="2"/>
        <w:spacing w:before="208"/>
        <w:ind w:left="220" w:firstLine="0"/>
        <w:outlineLvl w:val="0"/>
        <w:rPr>
          <w:rFonts w:hint="eastAsia" w:ascii="宋体" w:hAnsi="宋体" w:eastAsia="宋体" w:cs="宋体"/>
        </w:rPr>
      </w:pPr>
      <w:bookmarkStart w:id="1" w:name="_Toc19362"/>
      <w:r>
        <w:rPr>
          <w:rFonts w:hint="eastAsia" w:ascii="宋体" w:hAnsi="宋体" w:eastAsia="宋体" w:cs="宋体"/>
          <w:lang w:val="en-US" w:eastAsia="zh-CN"/>
        </w:rPr>
        <w:t>二、</w:t>
      </w:r>
      <w:r>
        <w:rPr>
          <w:rFonts w:hint="eastAsia" w:ascii="宋体" w:hAnsi="宋体" w:eastAsia="宋体" w:cs="宋体"/>
        </w:rPr>
        <w:t>功能说明</w:t>
      </w:r>
      <w:bookmarkEnd w:id="1"/>
    </w:p>
    <w:p>
      <w:pPr>
        <w:pStyle w:val="2"/>
        <w:numPr>
          <w:ilvl w:val="0"/>
          <w:numId w:val="0"/>
        </w:numPr>
        <w:tabs>
          <w:tab w:val="left" w:pos="859"/>
        </w:tabs>
        <w:spacing w:before="205" w:after="0" w:line="240" w:lineRule="auto"/>
        <w:ind w:left="219" w:leftChars="0" w:right="0" w:rightChars="0"/>
        <w:jc w:val="left"/>
        <w:rPr>
          <w:rFonts w:hint="eastAsia" w:ascii="宋体" w:hAnsi="宋体" w:eastAsia="宋体" w:cs="宋体"/>
          <w:lang w:val="en-US" w:eastAsia="zh-CN"/>
        </w:rPr>
      </w:pPr>
      <w:bookmarkStart w:id="2" w:name="_bookmark3"/>
      <w:bookmarkEnd w:id="2"/>
      <w:bookmarkStart w:id="3" w:name="_Toc28013"/>
      <w:r>
        <w:rPr>
          <w:rFonts w:hint="eastAsia" w:ascii="宋体" w:hAnsi="宋体" w:eastAsia="宋体" w:cs="宋体"/>
          <w:lang w:val="en-US" w:eastAsia="zh-CN"/>
        </w:rPr>
        <w:t xml:space="preserve">2.1 </w:t>
      </w:r>
      <w:r>
        <w:rPr>
          <w:rFonts w:hint="eastAsia" w:ascii="宋体" w:hAnsi="宋体" w:eastAsia="宋体" w:cs="宋体"/>
        </w:rPr>
        <w:t>功能</w:t>
      </w:r>
      <w:r>
        <w:rPr>
          <w:rFonts w:hint="eastAsia" w:ascii="宋体" w:hAnsi="宋体" w:eastAsia="宋体" w:cs="宋体"/>
          <w:lang w:val="en-US" w:eastAsia="zh-CN"/>
        </w:rPr>
        <w:t>列表</w:t>
      </w:r>
      <w:bookmarkEnd w:id="3"/>
    </w:p>
    <w:p>
      <w:pPr>
        <w:pStyle w:val="3"/>
        <w:spacing w:before="20"/>
        <w:rPr>
          <w:rFonts w:hint="eastAsia" w:ascii="宋体" w:hAnsi="宋体" w:eastAsia="宋体" w:cs="宋体"/>
          <w:sz w:val="11"/>
        </w:rPr>
      </w:pPr>
    </w:p>
    <w:tbl>
      <w:tblPr>
        <w:tblStyle w:val="13"/>
        <w:tblpPr w:leftFromText="180" w:rightFromText="180" w:vertAnchor="text" w:horzAnchor="page" w:tblpX="1262" w:tblpY="323"/>
        <w:tblOverlap w:val="never"/>
        <w:tblW w:w="518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8"/>
        <w:gridCol w:w="2634"/>
        <w:gridCol w:w="4726"/>
        <w:gridCol w:w="15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" w:type="pct"/>
            <w:tcBorders>
              <w:bottom w:val="nil"/>
              <w:right w:val="nil"/>
            </w:tcBorders>
            <w:shd w:val="clear" w:color="auto" w:fill="000000" w:themeFill="text1"/>
          </w:tcPr>
          <w:p>
            <w:pPr>
              <w:pStyle w:val="12"/>
              <w:spacing w:before="0" w:after="0" w:line="560" w:lineRule="exact"/>
              <w:rPr>
                <w:rFonts w:hint="eastAsia" w:ascii="宋体" w:hAnsi="宋体" w:eastAsia="宋体" w:cs="宋体"/>
                <w:b w:val="0"/>
                <w:bCs/>
                <w:color w:val="FFFFFF" w:themeColor="background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FFFFFF" w:themeColor="background1"/>
                <w:sz w:val="21"/>
                <w:szCs w:val="21"/>
              </w:rPr>
              <w:t>编号</w:t>
            </w:r>
          </w:p>
        </w:tc>
        <w:tc>
          <w:tcPr>
            <w:tcW w:w="1375" w:type="pct"/>
            <w:shd w:val="clear" w:color="auto" w:fill="000000" w:themeFill="text1"/>
          </w:tcPr>
          <w:p>
            <w:pPr>
              <w:pStyle w:val="12"/>
              <w:spacing w:before="0" w:after="0" w:line="560" w:lineRule="exact"/>
              <w:rPr>
                <w:rFonts w:hint="eastAsia" w:ascii="宋体" w:hAnsi="宋体" w:eastAsia="宋体" w:cs="宋体"/>
                <w:b w:val="0"/>
                <w:bCs/>
                <w:color w:val="FFFFFF" w:themeColor="background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</w:rPr>
              <w:t>需求标题</w:t>
            </w:r>
          </w:p>
        </w:tc>
        <w:tc>
          <w:tcPr>
            <w:tcW w:w="2467" w:type="pct"/>
            <w:shd w:val="clear" w:color="auto" w:fill="000000" w:themeFill="text1"/>
          </w:tcPr>
          <w:p>
            <w:pPr>
              <w:pStyle w:val="12"/>
              <w:spacing w:before="0" w:after="0" w:line="560" w:lineRule="exact"/>
              <w:rPr>
                <w:rFonts w:hint="eastAsia" w:ascii="宋体" w:hAnsi="宋体" w:eastAsia="宋体" w:cs="宋体"/>
                <w:b w:val="0"/>
                <w:bCs/>
                <w:color w:val="FFFFFF" w:themeColor="background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</w:rPr>
              <w:t>需求内容</w:t>
            </w:r>
          </w:p>
        </w:tc>
        <w:tc>
          <w:tcPr>
            <w:tcW w:w="796" w:type="pct"/>
            <w:shd w:val="clear" w:color="auto" w:fill="000000" w:themeFill="text1"/>
          </w:tcPr>
          <w:p>
            <w:pPr>
              <w:pStyle w:val="12"/>
              <w:spacing w:before="0" w:after="0" w:line="560" w:lineRule="exact"/>
              <w:rPr>
                <w:rFonts w:hint="eastAsia" w:ascii="宋体" w:hAnsi="宋体" w:eastAsia="宋体" w:cs="宋体"/>
                <w:b w:val="0"/>
                <w:bCs/>
                <w:color w:val="FFFFFF" w:themeColor="background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" w:type="pct"/>
            <w:tcBorders>
              <w:top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>
            <w:pPr>
              <w:pStyle w:val="12"/>
              <w:tabs>
                <w:tab w:val="left" w:pos="407"/>
              </w:tabs>
              <w:spacing w:before="0" w:after="0" w:line="56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375" w:type="pct"/>
            <w:tcBorders>
              <w:top w:val="single" w:color="000000" w:themeColor="text1" w:sz="4" w:space="0"/>
              <w:bottom w:val="single" w:color="000000" w:themeColor="text1" w:sz="4" w:space="0"/>
              <w:insideH w:val="single" w:sz="4" w:space="0"/>
            </w:tcBorders>
          </w:tcPr>
          <w:p>
            <w:pPr>
              <w:pStyle w:val="12"/>
              <w:spacing w:before="0" w:after="0" w:line="560" w:lineRule="exac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  <w:t>健康探测</w:t>
            </w:r>
          </w:p>
        </w:tc>
        <w:tc>
          <w:tcPr>
            <w:tcW w:w="2467" w:type="pct"/>
            <w:tcBorders>
              <w:top w:val="single" w:color="000000" w:themeColor="text1" w:sz="4" w:space="0"/>
              <w:bottom w:val="single" w:color="000000" w:themeColor="text1" w:sz="4" w:space="0"/>
              <w:insideH w:val="single" w:sz="4" w:space="0"/>
            </w:tcBorders>
          </w:tcPr>
          <w:p>
            <w:pPr>
              <w:pStyle w:val="12"/>
              <w:numPr>
                <w:ilvl w:val="0"/>
                <w:numId w:val="0"/>
              </w:numPr>
              <w:spacing w:before="0" w:after="0"/>
              <w:ind w:right="0" w:rightChars="0"/>
              <w:jc w:val="left"/>
              <w:rPr>
                <w:rFonts w:hint="eastAsia" w:ascii="宋体" w:hAnsi="宋体" w:cs="宋体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</w:pPr>
          </w:p>
          <w:p>
            <w:pPr>
              <w:pStyle w:val="12"/>
              <w:numPr>
                <w:ilvl w:val="0"/>
                <w:numId w:val="0"/>
              </w:numPr>
              <w:spacing w:before="0" w:after="0"/>
              <w:ind w:right="0" w:rightChars="0"/>
              <w:jc w:val="left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  <w:t>机构状态转换和处理</w:t>
            </w:r>
          </w:p>
        </w:tc>
        <w:tc>
          <w:tcPr>
            <w:tcW w:w="796" w:type="pct"/>
            <w:tcBorders>
              <w:top w:val="single" w:color="000000" w:themeColor="text1" w:sz="4" w:space="0"/>
              <w:bottom w:val="single" w:color="000000" w:themeColor="text1" w:sz="4" w:space="0"/>
              <w:insideH w:val="single" w:sz="4" w:space="0"/>
            </w:tcBorders>
          </w:tcPr>
          <w:p>
            <w:pPr>
              <w:pStyle w:val="12"/>
              <w:spacing w:before="0" w:after="0" w:line="560" w:lineRule="exact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" w:type="pct"/>
            <w:tcBorders>
              <w:top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>
            <w:pPr>
              <w:pStyle w:val="12"/>
              <w:tabs>
                <w:tab w:val="left" w:pos="407"/>
              </w:tabs>
              <w:spacing w:before="0" w:after="0" w:line="56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375" w:type="pct"/>
            <w:tcBorders>
              <w:top w:val="single" w:color="000000" w:themeColor="text1" w:sz="4" w:space="0"/>
              <w:bottom w:val="single" w:color="000000" w:themeColor="text1" w:sz="4" w:space="0"/>
              <w:insideH w:val="single" w:sz="4" w:space="0"/>
            </w:tcBorders>
          </w:tcPr>
          <w:p>
            <w:pPr>
              <w:pStyle w:val="12"/>
              <w:spacing w:before="0" w:after="0" w:line="560" w:lineRule="exact"/>
              <w:rPr>
                <w:rFonts w:hint="default" w:ascii="宋体" w:hAnsi="宋体" w:cs="宋体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  <w:t>恢复流程</w:t>
            </w:r>
          </w:p>
        </w:tc>
        <w:tc>
          <w:tcPr>
            <w:tcW w:w="2467" w:type="pct"/>
            <w:tcBorders>
              <w:top w:val="single" w:color="000000" w:themeColor="text1" w:sz="4" w:space="0"/>
              <w:bottom w:val="single" w:color="000000" w:themeColor="text1" w:sz="4" w:space="0"/>
              <w:insideH w:val="single" w:sz="4" w:space="0"/>
            </w:tcBorders>
          </w:tcPr>
          <w:p>
            <w:pPr>
              <w:pStyle w:val="12"/>
              <w:numPr>
                <w:ilvl w:val="0"/>
                <w:numId w:val="0"/>
              </w:numPr>
              <w:spacing w:before="0" w:after="0"/>
              <w:ind w:right="0" w:rightChars="0"/>
              <w:jc w:val="left"/>
              <w:rPr>
                <w:rFonts w:hint="eastAsia" w:ascii="宋体" w:hAnsi="宋体" w:cs="宋体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</w:pPr>
          </w:p>
          <w:p>
            <w:pPr>
              <w:pStyle w:val="12"/>
              <w:numPr>
                <w:ilvl w:val="0"/>
                <w:numId w:val="0"/>
              </w:numPr>
              <w:spacing w:before="0" w:after="0"/>
              <w:ind w:right="0" w:rightChars="0"/>
              <w:jc w:val="left"/>
              <w:rPr>
                <w:rFonts w:hint="default" w:ascii="宋体" w:hAnsi="宋体" w:cs="宋体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  <w:t>灰度处理机制</w:t>
            </w:r>
          </w:p>
        </w:tc>
        <w:tc>
          <w:tcPr>
            <w:tcW w:w="796" w:type="pct"/>
            <w:tcBorders>
              <w:top w:val="single" w:color="000000" w:themeColor="text1" w:sz="4" w:space="0"/>
              <w:bottom w:val="single" w:color="000000" w:themeColor="text1" w:sz="4" w:space="0"/>
              <w:insideH w:val="single" w:sz="4" w:space="0"/>
            </w:tcBorders>
          </w:tcPr>
          <w:p>
            <w:pPr>
              <w:pStyle w:val="12"/>
              <w:spacing w:before="0" w:after="0" w:line="560" w:lineRule="exact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" w:type="pct"/>
            <w:tcBorders>
              <w:top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>
            <w:pPr>
              <w:pStyle w:val="12"/>
              <w:tabs>
                <w:tab w:val="left" w:pos="407"/>
              </w:tabs>
              <w:spacing w:before="0" w:after="0" w:line="56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375" w:type="pct"/>
            <w:tcBorders>
              <w:top w:val="single" w:color="000000" w:themeColor="text1" w:sz="4" w:space="0"/>
              <w:bottom w:val="single" w:color="000000" w:themeColor="text1" w:sz="4" w:space="0"/>
              <w:insideH w:val="single" w:sz="4" w:space="0"/>
            </w:tcBorders>
          </w:tcPr>
          <w:p>
            <w:pPr>
              <w:pStyle w:val="12"/>
              <w:spacing w:before="0" w:after="0" w:line="560" w:lineRule="exact"/>
              <w:rPr>
                <w:rFonts w:hint="default" w:ascii="宋体" w:hAnsi="宋体" w:cs="宋体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  <w:t>资金路由</w:t>
            </w:r>
          </w:p>
        </w:tc>
        <w:tc>
          <w:tcPr>
            <w:tcW w:w="2467" w:type="pct"/>
            <w:tcBorders>
              <w:top w:val="single" w:color="000000" w:themeColor="text1" w:sz="4" w:space="0"/>
              <w:bottom w:val="single" w:color="000000" w:themeColor="text1" w:sz="4" w:space="0"/>
              <w:insideH w:val="single" w:sz="4" w:space="0"/>
            </w:tcBorders>
          </w:tcPr>
          <w:p>
            <w:pPr>
              <w:pStyle w:val="12"/>
              <w:numPr>
                <w:ilvl w:val="0"/>
                <w:numId w:val="0"/>
              </w:numPr>
              <w:spacing w:before="0" w:after="0"/>
              <w:ind w:right="0" w:rightChars="0"/>
              <w:jc w:val="left"/>
              <w:rPr>
                <w:rFonts w:hint="eastAsia" w:ascii="宋体" w:hAnsi="宋体" w:cs="宋体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</w:pPr>
          </w:p>
          <w:p>
            <w:pPr>
              <w:pStyle w:val="12"/>
              <w:numPr>
                <w:ilvl w:val="0"/>
                <w:numId w:val="0"/>
              </w:numPr>
              <w:spacing w:before="0" w:after="0"/>
              <w:ind w:right="0" w:rightChars="0"/>
              <w:jc w:val="left"/>
              <w:rPr>
                <w:rFonts w:hint="default" w:ascii="宋体" w:hAnsi="宋体" w:cs="宋体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  <w:t>资金路由增加机构状态校验</w:t>
            </w:r>
          </w:p>
        </w:tc>
        <w:tc>
          <w:tcPr>
            <w:tcW w:w="796" w:type="pct"/>
            <w:tcBorders>
              <w:top w:val="single" w:color="000000" w:themeColor="text1" w:sz="4" w:space="0"/>
              <w:bottom w:val="single" w:color="000000" w:themeColor="text1" w:sz="4" w:space="0"/>
              <w:insideH w:val="single" w:sz="4" w:space="0"/>
            </w:tcBorders>
          </w:tcPr>
          <w:p>
            <w:pPr>
              <w:pStyle w:val="12"/>
              <w:spacing w:before="0" w:after="0" w:line="560" w:lineRule="exact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" w:type="pct"/>
            <w:tcBorders>
              <w:top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FFFFFF" w:themeFill="background1"/>
          </w:tcPr>
          <w:p>
            <w:pPr>
              <w:pStyle w:val="12"/>
              <w:tabs>
                <w:tab w:val="left" w:pos="407"/>
              </w:tabs>
              <w:spacing w:before="0" w:after="0" w:line="56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375" w:type="pct"/>
            <w:tcBorders>
              <w:top w:val="single" w:color="000000" w:themeColor="text1" w:sz="4" w:space="0"/>
              <w:bottom w:val="single" w:color="000000" w:themeColor="text1" w:sz="4" w:space="0"/>
              <w:insideH w:val="single" w:sz="4" w:space="0"/>
            </w:tcBorders>
          </w:tcPr>
          <w:p>
            <w:pPr>
              <w:pStyle w:val="12"/>
              <w:spacing w:before="0" w:after="0" w:line="560" w:lineRule="exact"/>
              <w:rPr>
                <w:rFonts w:hint="default" w:ascii="宋体" w:hAnsi="宋体" w:cs="宋体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  <w:t>界面原型</w:t>
            </w:r>
          </w:p>
        </w:tc>
        <w:tc>
          <w:tcPr>
            <w:tcW w:w="2467" w:type="pct"/>
            <w:tcBorders>
              <w:top w:val="single" w:color="000000" w:themeColor="text1" w:sz="4" w:space="0"/>
              <w:bottom w:val="single" w:color="000000" w:themeColor="text1" w:sz="4" w:space="0"/>
              <w:insideH w:val="single" w:sz="4" w:space="0"/>
            </w:tcBorders>
          </w:tcPr>
          <w:p>
            <w:pPr>
              <w:pStyle w:val="12"/>
              <w:numPr>
                <w:ilvl w:val="0"/>
                <w:numId w:val="0"/>
              </w:numPr>
              <w:spacing w:before="0" w:after="0"/>
              <w:ind w:right="0" w:rightChars="0"/>
              <w:jc w:val="left"/>
              <w:rPr>
                <w:rFonts w:hint="eastAsia" w:ascii="宋体" w:hAnsi="宋体" w:cs="宋体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</w:pPr>
          </w:p>
          <w:p>
            <w:pPr>
              <w:pStyle w:val="12"/>
              <w:numPr>
                <w:ilvl w:val="0"/>
                <w:numId w:val="0"/>
              </w:numPr>
              <w:spacing w:before="0" w:after="0"/>
              <w:ind w:right="0" w:rightChars="0"/>
              <w:jc w:val="left"/>
              <w:rPr>
                <w:rFonts w:hint="default" w:ascii="宋体" w:hAnsi="宋体" w:cs="宋体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  <w:t>界面原型设计</w:t>
            </w:r>
          </w:p>
        </w:tc>
        <w:tc>
          <w:tcPr>
            <w:tcW w:w="796" w:type="pct"/>
            <w:tcBorders>
              <w:top w:val="single" w:color="000000" w:themeColor="text1" w:sz="4" w:space="0"/>
              <w:bottom w:val="single" w:color="000000" w:themeColor="text1" w:sz="4" w:space="0"/>
              <w:insideH w:val="single" w:sz="4" w:space="0"/>
            </w:tcBorders>
          </w:tcPr>
          <w:p>
            <w:pPr>
              <w:pStyle w:val="12"/>
              <w:spacing w:before="0" w:after="0" w:line="560" w:lineRule="exact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</w:rPr>
              <w:t>P0</w:t>
            </w:r>
          </w:p>
        </w:tc>
      </w:tr>
    </w:tbl>
    <w:p>
      <w:pPr>
        <w:spacing w:after="0" w:line="444" w:lineRule="exact"/>
        <w:jc w:val="center"/>
        <w:rPr>
          <w:rFonts w:hint="eastAsia" w:ascii="宋体" w:hAnsi="宋体" w:eastAsia="宋体" w:cs="宋体"/>
          <w:sz w:val="21"/>
        </w:rPr>
        <w:sectPr>
          <w:pgSz w:w="11910" w:h="16840"/>
          <w:pgMar w:top="1580" w:right="1320" w:bottom="280" w:left="1580" w:header="720" w:footer="720" w:gutter="0"/>
          <w:cols w:space="720" w:num="1"/>
        </w:sectPr>
      </w:pPr>
    </w:p>
    <w:p>
      <w:pPr>
        <w:pStyle w:val="3"/>
        <w:rPr>
          <w:rFonts w:hint="eastAsia" w:ascii="宋体" w:hAnsi="宋体" w:eastAsia="宋体" w:cs="宋体"/>
          <w:sz w:val="16"/>
        </w:rPr>
      </w:pPr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p>
      <w:pPr>
        <w:pStyle w:val="2"/>
        <w:numPr>
          <w:ilvl w:val="0"/>
          <w:numId w:val="0"/>
        </w:numPr>
        <w:tabs>
          <w:tab w:val="left" w:pos="859"/>
        </w:tabs>
        <w:spacing w:before="0" w:after="0" w:line="590" w:lineRule="exact"/>
        <w:ind w:left="219" w:leftChars="0" w:right="0" w:rightChars="0"/>
        <w:jc w:val="left"/>
        <w:rPr>
          <w:rFonts w:hint="eastAsia" w:eastAsia="宋体"/>
          <w:lang w:val="en-US" w:eastAsia="zh-CN"/>
        </w:rPr>
      </w:pPr>
      <w:bookmarkStart w:id="4" w:name="_bookmark4"/>
      <w:bookmarkEnd w:id="4"/>
      <w:bookmarkStart w:id="5" w:name="_Toc8994"/>
      <w:r>
        <w:rPr>
          <w:rFonts w:hint="eastAsia" w:ascii="宋体" w:hAnsi="宋体" w:eastAsia="宋体" w:cs="宋体"/>
          <w:lang w:val="en-US" w:eastAsia="zh-CN"/>
        </w:rPr>
        <w:t xml:space="preserve">2.2 </w:t>
      </w:r>
      <w:r>
        <w:rPr>
          <w:rFonts w:hint="eastAsia" w:ascii="宋体" w:hAnsi="宋体" w:eastAsia="宋体" w:cs="宋体"/>
        </w:rPr>
        <w:t>功能需</w:t>
      </w:r>
      <w:r>
        <w:rPr>
          <w:rFonts w:hint="eastAsia" w:ascii="宋体" w:hAnsi="宋体" w:eastAsia="宋体" w:cs="宋体"/>
          <w:lang w:val="en-US" w:eastAsia="zh-CN"/>
        </w:rPr>
        <w:t>求</w:t>
      </w:r>
      <w:bookmarkEnd w:id="5"/>
    </w:p>
    <w:p>
      <w:pPr>
        <w:pStyle w:val="2"/>
        <w:numPr>
          <w:ilvl w:val="0"/>
          <w:numId w:val="0"/>
        </w:numPr>
        <w:tabs>
          <w:tab w:val="left" w:pos="1020"/>
        </w:tabs>
        <w:spacing w:before="204" w:after="0" w:line="240" w:lineRule="auto"/>
        <w:ind w:left="219" w:leftChars="0" w:right="0" w:rightChars="0"/>
        <w:jc w:val="left"/>
        <w:rPr>
          <w:rFonts w:hint="default"/>
          <w:lang w:val="en-US" w:eastAsia="zh-CN"/>
        </w:rPr>
      </w:pPr>
      <w:bookmarkStart w:id="6" w:name="_bookmark5"/>
      <w:bookmarkEnd w:id="6"/>
      <w:bookmarkStart w:id="7" w:name="_Toc9589"/>
      <w:r>
        <w:rPr>
          <w:rFonts w:hint="eastAsia" w:ascii="宋体" w:hAnsi="宋体" w:eastAsia="宋体" w:cs="宋体"/>
          <w:lang w:val="en-US" w:eastAsia="zh-CN"/>
        </w:rPr>
        <w:t>2.2.1 健康探测</w:t>
      </w:r>
      <w:bookmarkEnd w:id="7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Chars="350" w:right="0" w:right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华文仿宋" w:hAnsi="华文仿宋" w:eastAsia="华文仿宋" w:cs="华文仿宋"/>
          <w:sz w:val="18"/>
          <w:szCs w:val="18"/>
          <w:lang w:val="en-US" w:eastAsia="zh-CN" w:bidi="ar-SA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29300" cy="2105025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Chars="350" w:right="0" w:righ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机构增加状态字段（0-正常状态  1-熔断状态）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Chars="350" w:right="0" w:righ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机构初始化新增时状态为“正常状态”；健康探测任务，定时进行检测；若指标探测异常则转为“熔断状态”，正常则不做状态转换。具体规则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1080" w:leftChars="0" w:right="0" w:righ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若探测无订单数据，则不进行健康状态标记处理。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1080" w:leftChars="0" w:right="0" w:rightChars="0" w:firstLine="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指标探测，校验抽查单位时间内是否达到异常交易指标，达到则熔断，未达到则正常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Chars="350" w:right="0" w:righ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恢复机制，熔断状态机构，需检测是否满足重试探测机制，满足则进行重试探测，检查恢复指标，符合条件则恢复正常状态，不符合则不进行恢复。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Chars="350" w:right="0" w:righ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指标探测规则如下表：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right="0" w:righ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</w:t>
      </w:r>
    </w:p>
    <w:tbl>
      <w:tblPr>
        <w:tblStyle w:val="7"/>
        <w:tblW w:w="94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9"/>
        <w:gridCol w:w="3368"/>
        <w:gridCol w:w="2760"/>
        <w:gridCol w:w="19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探测类型</w:t>
            </w:r>
          </w:p>
        </w:tc>
        <w:tc>
          <w:tcPr>
            <w:tcW w:w="336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时间指标</w:t>
            </w:r>
          </w:p>
        </w:tc>
        <w:tc>
          <w:tcPr>
            <w:tcW w:w="276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数量指标</w:t>
            </w:r>
          </w:p>
        </w:tc>
        <w:tc>
          <w:tcPr>
            <w:tcW w:w="192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处理方式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39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right="0" w:rightChars="0"/>
              <w:jc w:val="both"/>
              <w:textAlignment w:val="auto"/>
              <w:rPr>
                <w:rFonts w:hint="eastAsia" w:cs="Noto Sans CJK JP Black"/>
                <w:sz w:val="22"/>
                <w:szCs w:val="22"/>
                <w:lang w:val="en-US" w:eastAsia="zh-CN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Noto Sans CJK JP Black"/>
                <w:sz w:val="22"/>
                <w:szCs w:val="22"/>
                <w:lang w:val="en-US" w:eastAsia="zh-CN" w:bidi="ar-SA"/>
              </w:rPr>
              <w:t>服务异常</w:t>
            </w:r>
          </w:p>
        </w:tc>
        <w:tc>
          <w:tcPr>
            <w:tcW w:w="336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5mine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内服务异常率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&gt;80%</w:t>
            </w:r>
          </w:p>
        </w:tc>
        <w:tc>
          <w:tcPr>
            <w:tcW w:w="276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或连续异常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50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笔及以上</w:t>
            </w:r>
          </w:p>
        </w:tc>
        <w:tc>
          <w:tcPr>
            <w:tcW w:w="192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熔断+短信告知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="Noto Sans CJK JP Black" w:hAnsi="Noto Sans CJK JP Black" w:eastAsia="Noto Sans CJK JP Black" w:cs="Noto Sans CJK JP Black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="Noto Sans CJK JP Black"/>
                <w:sz w:val="22"/>
                <w:szCs w:val="22"/>
                <w:lang w:val="en-US" w:eastAsia="zh-CN" w:bidi="ar-SA"/>
              </w:rPr>
              <w:t>服务超时</w:t>
            </w:r>
          </w:p>
        </w:tc>
        <w:tc>
          <w:tcPr>
            <w:tcW w:w="336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right="0" w:rightChars="0" w:firstLine="0" w:firstLine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10mine内服务超时120s&gt;80%</w:t>
            </w:r>
          </w:p>
        </w:tc>
        <w:tc>
          <w:tcPr>
            <w:tcW w:w="276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或连续超时100笔及以上</w:t>
            </w:r>
          </w:p>
        </w:tc>
        <w:tc>
          <w:tcPr>
            <w:tcW w:w="192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熔断+短信告知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39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="Noto Sans CJK JP Black" w:hAnsi="Noto Sans CJK JP Black" w:eastAsia="Noto Sans CJK JP Black" w:cs="Noto Sans CJK JP Black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="Noto Sans CJK JP Black"/>
                <w:sz w:val="22"/>
                <w:szCs w:val="22"/>
                <w:lang w:val="en-US" w:eastAsia="zh-CN" w:bidi="ar-SA"/>
              </w:rPr>
              <w:t>审批拒绝</w:t>
            </w:r>
          </w:p>
        </w:tc>
        <w:tc>
          <w:tcPr>
            <w:tcW w:w="336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right="0" w:rightChars="0" w:firstLine="0" w:firstLine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10mine内服务审批拒绝率&gt;70%</w:t>
            </w:r>
          </w:p>
        </w:tc>
        <w:tc>
          <w:tcPr>
            <w:tcW w:w="276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或连续审批拒绝100笔及以上</w:t>
            </w:r>
          </w:p>
        </w:tc>
        <w:tc>
          <w:tcPr>
            <w:tcW w:w="192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熔断+短信告知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right="0" w:righ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Chars="350" w:right="0" w:righ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短信内容：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720" w:right="0" w:rightChars="0" w:hanging="720" w:hangingChars="3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系统监测【机构简称】，【告警指标内容：例：5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mine内服务异常率&gt;80%/服务连续异常50笔以上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】，已触发熔断机制，请联系合作方。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right="0" w:rightChars="0" w:firstLine="720" w:firstLineChars="3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系统监测【机构简称】，已解除熔断，恢复正常。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770" w:leftChars="350" w:right="0" w:righ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健康探测流程如图：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Chars="350" w:right="0" w:righ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61940" cy="3813175"/>
            <wp:effectExtent l="0" t="0" r="0" b="0"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3813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right="0" w:righ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Chars="350" w:right="0" w:rightChars="0"/>
        <w:textAlignment w:val="auto"/>
        <w:rPr>
          <w:rFonts w:hint="eastAsia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Chars="-857" w:right="0" w:rightChars="0"/>
        <w:jc w:val="left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  <w:r>
        <w:rPr>
          <w:rFonts w:hint="eastAsia" w:ascii="华文仿宋" w:hAnsi="华文仿宋" w:eastAsia="华文仿宋" w:cs="华文仿宋"/>
          <w:sz w:val="18"/>
          <w:szCs w:val="18"/>
          <w:lang w:val="en-US" w:eastAsia="zh-CN" w:bidi="ar-SA"/>
        </w:rPr>
        <w:t>撒</w:t>
      </w:r>
    </w:p>
    <w:p>
      <w:pPr>
        <w:numPr>
          <w:ilvl w:val="0"/>
          <w:numId w:val="0"/>
        </w:numPr>
        <w:ind w:leftChars="-857" w:right="0" w:rightChars="0"/>
        <w:rPr>
          <w:rFonts w:hint="eastAsia" w:ascii="宋体" w:hAnsi="宋体" w:eastAsia="宋体" w:cs="宋体"/>
          <w:sz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18"/>
          <w:szCs w:val="18"/>
          <w:lang w:val="en-US" w:eastAsia="zh-CN" w:bidi="ar-SA"/>
        </w:rPr>
        <w:t xml:space="preserve">              </w:t>
      </w:r>
    </w:p>
    <w:p>
      <w:pPr>
        <w:pStyle w:val="2"/>
        <w:numPr>
          <w:ilvl w:val="0"/>
          <w:numId w:val="0"/>
        </w:numPr>
        <w:tabs>
          <w:tab w:val="left" w:pos="1020"/>
        </w:tabs>
        <w:spacing w:before="204" w:after="0" w:line="240" w:lineRule="auto"/>
        <w:ind w:left="219" w:leftChars="0" w:right="0" w:rightChars="0"/>
        <w:jc w:val="left"/>
        <w:rPr>
          <w:rFonts w:hint="default"/>
          <w:lang w:val="en-US"/>
        </w:rPr>
      </w:pPr>
      <w:bookmarkStart w:id="8" w:name="_Toc5661"/>
      <w:r>
        <w:rPr>
          <w:rFonts w:hint="eastAsia" w:ascii="宋体" w:hAnsi="宋体" w:eastAsia="宋体" w:cs="宋体"/>
          <w:lang w:val="en-US" w:eastAsia="zh-CN"/>
        </w:rPr>
        <w:t>2.2.2 恢复流程</w:t>
      </w:r>
      <w:bookmarkEnd w:id="8"/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华文仿宋" w:hAnsi="华文仿宋" w:eastAsia="华文仿宋" w:cs="华文仿宋"/>
          <w:sz w:val="18"/>
          <w:szCs w:val="18"/>
          <w:lang w:val="en-US" w:eastAsia="zh-CN" w:bidi="ar-SA"/>
        </w:rPr>
        <w:t xml:space="preserve">          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76875" cy="2295525"/>
            <wp:effectExtent l="0" t="0" r="0" b="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熔断状态机构，可通过恢复任务定时监测灰度测试的交易订单状态，满足恢复要求则更改机构状态。</w:t>
      </w:r>
    </w:p>
    <w:p>
      <w:pPr>
        <w:numPr>
          <w:ilvl w:val="0"/>
          <w:numId w:val="3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熔断状态重试机制，间隔周期内不做重试处理，重试间隔时间内可以发起重试单子，第一个间隔周期为熔断标记开始时间。后续每次重试间隔时间后为间隔周期。</w:t>
      </w:r>
    </w:p>
    <w:p>
      <w:pPr>
        <w:numPr>
          <w:ilvl w:val="0"/>
          <w:numId w:val="0"/>
        </w:numPr>
        <w:ind w:right="0" w:rightChars="0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2"/>
        <w:gridCol w:w="1761"/>
        <w:gridCol w:w="1479"/>
        <w:gridCol w:w="1474"/>
        <w:gridCol w:w="3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2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间隔周期</w:t>
            </w:r>
          </w:p>
        </w:tc>
        <w:tc>
          <w:tcPr>
            <w:tcW w:w="1761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重试间隔时间</w:t>
            </w:r>
          </w:p>
        </w:tc>
        <w:tc>
          <w:tcPr>
            <w:tcW w:w="1479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重试单（Max）</w:t>
            </w:r>
          </w:p>
        </w:tc>
        <w:tc>
          <w:tcPr>
            <w:tcW w:w="1474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重试次数</w:t>
            </w:r>
          </w:p>
        </w:tc>
        <w:tc>
          <w:tcPr>
            <w:tcW w:w="321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熔断恢复标准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2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30mine</w:t>
            </w:r>
          </w:p>
        </w:tc>
        <w:tc>
          <w:tcPr>
            <w:tcW w:w="1761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5mine</w:t>
            </w:r>
          </w:p>
        </w:tc>
        <w:tc>
          <w:tcPr>
            <w:tcW w:w="1479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5 单</w:t>
            </w:r>
          </w:p>
        </w:tc>
        <w:tc>
          <w:tcPr>
            <w:tcW w:w="1474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20次</w:t>
            </w:r>
          </w:p>
        </w:tc>
        <w:tc>
          <w:tcPr>
            <w:tcW w:w="321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right="0" w:rightChars="0" w:firstLine="0" w:firstLineChars="0"/>
              <w:rPr>
                <w:rFonts w:hint="default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服务审批成功数量&gt;3单 且 审批时长小于120s</w:t>
            </w:r>
          </w:p>
          <w:p>
            <w:pPr>
              <w:numPr>
                <w:ilvl w:val="0"/>
                <w:numId w:val="0"/>
              </w:numPr>
              <w:ind w:left="0" w:leftChars="0" w:right="0" w:rightChars="0" w:firstLine="0" w:firstLineChars="0"/>
              <w:rPr>
                <w:rFonts w:hint="default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2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61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79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74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18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ind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right="0" w:rightChars="0"/>
        <w:rPr>
          <w:rFonts w:hint="default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>
      <w:pPr>
        <w:pStyle w:val="11"/>
        <w:numPr>
          <w:ilvl w:val="0"/>
          <w:numId w:val="0"/>
        </w:numPr>
        <w:tabs>
          <w:tab w:val="left" w:pos="469"/>
        </w:tabs>
        <w:spacing w:before="0" w:after="0" w:line="252" w:lineRule="auto"/>
        <w:ind w:right="90" w:rightChars="0"/>
        <w:jc w:val="both"/>
        <w:rPr>
          <w:rFonts w:hint="default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sz w:val="21"/>
          <w:lang w:val="en-US" w:eastAsia="zh-CN"/>
        </w:rPr>
        <w:t>3、若重试次数到达后一直未恢复，则不在进行恢复任务，后续进行人工状态调整。</w:t>
      </w:r>
    </w:p>
    <w:p>
      <w:pPr>
        <w:pStyle w:val="2"/>
        <w:numPr>
          <w:ilvl w:val="0"/>
          <w:numId w:val="0"/>
        </w:numPr>
        <w:tabs>
          <w:tab w:val="left" w:pos="1020"/>
        </w:tabs>
        <w:spacing w:before="204" w:after="0" w:line="240" w:lineRule="auto"/>
        <w:ind w:left="219" w:leftChars="0" w:right="0" w:rightChars="0"/>
        <w:jc w:val="left"/>
        <w:rPr>
          <w:rFonts w:hint="default" w:ascii="宋体" w:hAnsi="宋体" w:eastAsia="宋体" w:cs="宋体"/>
          <w:lang w:val="en-US" w:eastAsia="zh-CN"/>
        </w:rPr>
      </w:pPr>
      <w:bookmarkStart w:id="9" w:name="_Toc30579"/>
      <w:r>
        <w:rPr>
          <w:rFonts w:hint="eastAsia" w:ascii="宋体" w:hAnsi="宋体" w:eastAsia="宋体" w:cs="宋体"/>
          <w:lang w:val="en-US" w:eastAsia="zh-CN"/>
        </w:rPr>
        <w:t>2.2.3 资金路由</w:t>
      </w:r>
      <w:bookmarkEnd w:id="9"/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eastAsia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snapToGrid/>
        <w:ind w:right="0" w:rightChars="0" w:firstLine="240" w:firstLineChars="100"/>
        <w:textAlignment w:val="auto"/>
        <w:rPr>
          <w:rFonts w:hint="eastAsia" w:ascii="华文仿宋" w:hAnsi="华文仿宋" w:eastAsia="华文仿宋" w:cs="华文仿宋"/>
          <w:sz w:val="18"/>
          <w:szCs w:val="18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334125" cy="9004300"/>
            <wp:effectExtent l="0" t="0" r="5715" b="0"/>
            <wp:docPr id="11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9004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snapToGrid/>
        <w:ind w:right="0" w:rightChars="0"/>
        <w:textAlignment w:val="auto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  <w:r>
        <w:rPr>
          <w:rFonts w:hint="eastAsia" w:ascii="华文仿宋" w:hAnsi="华文仿宋" w:eastAsia="华文仿宋" w:cs="华文仿宋"/>
          <w:sz w:val="18"/>
          <w:szCs w:val="18"/>
          <w:lang w:val="en-US" w:eastAsia="zh-CN" w:bidi="ar-SA"/>
        </w:rPr>
        <w:t xml:space="preserve">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snapToGrid/>
        <w:ind w:right="0" w:rightChars="0"/>
        <w:textAlignment w:val="auto"/>
        <w:rPr>
          <w:rFonts w:hint="eastAsia" w:ascii="华文仿宋" w:hAnsi="华文仿宋" w:eastAsia="华文仿宋" w:cs="华文仿宋"/>
          <w:sz w:val="18"/>
          <w:szCs w:val="18"/>
          <w:lang w:val="en-US" w:eastAsia="zh-CN" w:bidi="ar-SA"/>
        </w:rPr>
      </w:pPr>
      <w:r>
        <w:rPr>
          <w:rFonts w:hint="eastAsia" w:ascii="华文仿宋" w:hAnsi="华文仿宋" w:eastAsia="华文仿宋" w:cs="华文仿宋"/>
          <w:sz w:val="18"/>
          <w:szCs w:val="18"/>
          <w:lang w:val="en-US" w:eastAsia="zh-CN" w:bidi="ar-SA"/>
        </w:rPr>
        <w:t xml:space="preserve">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snapToGrid/>
        <w:ind w:right="0" w:rightChars="0"/>
        <w:textAlignment w:val="auto"/>
        <w:rPr>
          <w:rFonts w:hint="eastAsia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snapToGrid/>
        <w:ind w:right="0" w:rightChars="0"/>
        <w:textAlignment w:val="auto"/>
        <w:rPr>
          <w:rFonts w:hint="eastAsia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snapToGrid/>
        <w:ind w:right="0" w:rightChars="0"/>
        <w:textAlignment w:val="auto"/>
        <w:rPr>
          <w:rFonts w:hint="eastAsia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4"/>
        </w:numPr>
        <w:ind w:right="0" w:righ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资金方路由增加，机构校验逻辑，校验机构状态是否正常，正常则继续进行路由优先流程，状态为熔断状态，则校验是否满足重试机制，满足则直接输出该资金方；不满足重试机制则直接剔除路由列表。</w:t>
      </w:r>
    </w:p>
    <w:p>
      <w:pPr>
        <w:numPr>
          <w:ilvl w:val="0"/>
          <w:numId w:val="4"/>
        </w:numPr>
        <w:ind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判断是否满足重试机制，及判断该机构熔断时间是否在重试周期内，以及重试周期内是否达到重试单数量。</w:t>
      </w:r>
    </w:p>
    <w:p>
      <w:pPr>
        <w:numPr>
          <w:ilvl w:val="0"/>
          <w:numId w:val="4"/>
        </w:numPr>
        <w:ind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产品维度支持是否支持二次路由设置，在产品维度可设置二次路由开关，以及二次路由订单超时时间，具体规则如下：</w:t>
      </w:r>
    </w:p>
    <w:p>
      <w:pPr>
        <w:numPr>
          <w:ilvl w:val="0"/>
          <w:numId w:val="0"/>
        </w:numPr>
        <w:ind w:left="960" w:right="0" w:rightChars="0" w:hanging="960" w:hangingChars="4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A、订单标记熔断标识后，退回消费队列</w:t>
      </w:r>
    </w:p>
    <w:p>
      <w:pPr>
        <w:numPr>
          <w:ilvl w:val="0"/>
          <w:numId w:val="0"/>
        </w:numPr>
        <w:ind w:left="960" w:leftChars="218" w:right="0" w:rightChars="0" w:hanging="480" w:hanging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B、二次消费时，校验资产是否支持二次路由，订单是否超时，条件满足：二次路由，订单时间未超时，重新筛选资金方</w:t>
      </w:r>
    </w:p>
    <w:p>
      <w:pPr>
        <w:numPr>
          <w:ilvl w:val="0"/>
          <w:numId w:val="0"/>
        </w:numPr>
        <w:ind w:left="960" w:leftChars="218" w:right="0" w:rightChars="0" w:hanging="480" w:hanging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C、存在新资金方则进行二次分发，不存在则按照拒绝处理，返回订单进行兜底策略判断，进行兜底放款或者拒绝。</w:t>
      </w:r>
    </w:p>
    <w:p>
      <w:pPr>
        <w:numPr>
          <w:ilvl w:val="0"/>
          <w:numId w:val="0"/>
        </w:numPr>
        <w:ind w:left="960" w:leftChars="218" w:right="0" w:rightChars="0" w:hanging="480" w:hanging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D、二次路由单校验，二次路由单子包含熔断产生单子以及正常审批拒绝单子，需二次路由时校验首次资金方机构标识，二次路由时剔除该机构，进行筛选。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snapToGrid/>
        <w:ind w:right="0" w:rightChars="0"/>
        <w:textAlignment w:val="auto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pStyle w:val="2"/>
        <w:numPr>
          <w:ilvl w:val="0"/>
          <w:numId w:val="0"/>
        </w:numPr>
        <w:tabs>
          <w:tab w:val="left" w:pos="1020"/>
        </w:tabs>
        <w:spacing w:before="204" w:after="0" w:line="240" w:lineRule="auto"/>
        <w:ind w:left="219" w:leftChars="0" w:right="0" w:rightChars="0"/>
        <w:jc w:val="left"/>
        <w:rPr>
          <w:rFonts w:hint="default" w:ascii="宋体" w:hAnsi="宋体" w:eastAsia="宋体" w:cs="宋体"/>
          <w:lang w:val="en-US" w:eastAsia="zh-CN"/>
        </w:rPr>
      </w:pPr>
      <w:bookmarkStart w:id="10" w:name="_Toc11000"/>
      <w:r>
        <w:rPr>
          <w:rFonts w:hint="eastAsia" w:ascii="宋体" w:hAnsi="宋体" w:eastAsia="宋体" w:cs="宋体"/>
          <w:lang w:val="en-US" w:eastAsia="zh-CN"/>
        </w:rPr>
        <w:t>2.2.4 界面原型</w:t>
      </w:r>
      <w:bookmarkEnd w:id="10"/>
    </w:p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ind w:firstLine="360" w:firstLineChars="20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  <w:r>
        <w:rPr>
          <w:rFonts w:hint="eastAsia" w:ascii="华文仿宋" w:hAnsi="华文仿宋" w:eastAsia="华文仿宋" w:cs="华文仿宋"/>
          <w:sz w:val="18"/>
          <w:szCs w:val="18"/>
          <w:lang w:val="en-US" w:eastAsia="zh-CN" w:bidi="ar-SA"/>
        </w:rPr>
        <w:t xml:space="preserve">       </w:t>
      </w:r>
    </w:p>
    <w:p>
      <w:pPr>
        <w:numPr>
          <w:ilvl w:val="0"/>
          <w:numId w:val="5"/>
        </w:numPr>
        <w:ind w:left="33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产品设置页面增加是否二次路由开关及路由超时时间设置，路由超时时间为订单超时时间，如下图</w:t>
      </w:r>
    </w:p>
    <w:p>
      <w:pPr>
        <w:numPr>
          <w:ilvl w:val="0"/>
          <w:numId w:val="0"/>
        </w:numPr>
        <w:ind w:right="0" w:rightChars="0"/>
        <w:rPr>
          <w:rFonts w:hint="default" w:ascii="宋体" w:hAnsi="宋体" w:eastAsia="宋体" w:cs="宋体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120650</wp:posOffset>
            </wp:positionH>
            <wp:positionV relativeFrom="paragraph">
              <wp:posOffset>36830</wp:posOffset>
            </wp:positionV>
            <wp:extent cx="5829300" cy="3058795"/>
            <wp:effectExtent l="0" t="0" r="7620" b="4445"/>
            <wp:wrapTopAndBottom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lang w:val="en-US" w:eastAsia="zh-CN"/>
        </w:rPr>
        <w:t xml:space="preserve">   </w:t>
      </w:r>
    </w:p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numPr>
          <w:ilvl w:val="0"/>
          <w:numId w:val="5"/>
        </w:numPr>
        <w:ind w:left="330" w:leftChars="0" w:firstLine="0" w:firstLineChars="0"/>
        <w:rPr>
          <w:rFonts w:hint="eastAsia" w:ascii="宋体" w:hAnsi="宋体" w:eastAsia="宋体" w:cs="宋体"/>
          <w:lang w:val="en-US" w:eastAsia="zh-CN"/>
        </w:rPr>
      </w:pPr>
      <w:bookmarkStart w:id="11" w:name="_bookmark6"/>
      <w:bookmarkEnd w:id="11"/>
      <w:r>
        <w:rPr>
          <w:rFonts w:hint="eastAsia" w:ascii="宋体" w:hAnsi="宋体" w:eastAsia="宋体" w:cs="宋体"/>
          <w:lang w:val="en-US" w:eastAsia="zh-CN"/>
        </w:rPr>
        <w:t>增加监控监测设置页面，如下图</w:t>
      </w: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6"/>
        </w:numPr>
        <w:ind w:left="330" w:leftChars="0" w:right="0" w:rightChars="0"/>
        <w:rPr>
          <w:rFonts w:hint="eastAsia" w:ascii="华文仿宋" w:hAnsi="华文仿宋" w:eastAsia="华文仿宋" w:cs="华文仿宋"/>
          <w:sz w:val="18"/>
          <w:szCs w:val="18"/>
          <w:lang w:val="en-US" w:eastAsia="zh-CN" w:bidi="ar-SA"/>
        </w:rPr>
      </w:pPr>
      <w:r>
        <w:rPr>
          <w:rFonts w:hint="eastAsia" w:ascii="华文仿宋" w:hAnsi="华文仿宋" w:eastAsia="华文仿宋" w:cs="华文仿宋"/>
          <w:sz w:val="18"/>
          <w:szCs w:val="18"/>
          <w:lang w:val="en-US" w:eastAsia="zh-CN" w:bidi="ar-SA"/>
        </w:rPr>
        <w:t>界面支持熔断恢复规则配置以及手工恢复和熔断操作。</w:t>
      </w:r>
    </w:p>
    <w:p>
      <w:pPr>
        <w:numPr>
          <w:ilvl w:val="0"/>
          <w:numId w:val="6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  <w:r>
        <w:rPr>
          <w:rFonts w:hint="eastAsia" w:ascii="华文仿宋" w:hAnsi="华文仿宋" w:eastAsia="华文仿宋" w:cs="华文仿宋"/>
          <w:sz w:val="18"/>
          <w:szCs w:val="18"/>
          <w:lang w:val="en-US" w:eastAsia="zh-CN" w:bidi="ar-SA"/>
        </w:rPr>
        <w:t>熔断增加开关，若开关开启则进行健康探测和熔断恢复处理，关闭则不进行探测和恢复。</w:t>
      </w: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-601345</wp:posOffset>
            </wp:positionH>
            <wp:positionV relativeFrom="paragraph">
              <wp:posOffset>119380</wp:posOffset>
            </wp:positionV>
            <wp:extent cx="6591935" cy="5205095"/>
            <wp:effectExtent l="0" t="0" r="6985" b="6985"/>
            <wp:wrapTopAndBottom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91935" cy="520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5"/>
        </w:numPr>
        <w:ind w:left="33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机构增加审批超时设置页面，如下图</w:t>
      </w:r>
    </w:p>
    <w:p>
      <w:pPr>
        <w:numPr>
          <w:ilvl w:val="0"/>
          <w:numId w:val="7"/>
        </w:numPr>
        <w:ind w:left="600" w:leftChars="0" w:right="0" w:rightChars="0" w:firstLine="0" w:firstLineChars="0"/>
        <w:rPr>
          <w:rFonts w:hint="eastAsia" w:ascii="华文仿宋" w:hAnsi="华文仿宋" w:eastAsia="华文仿宋" w:cs="华文仿宋"/>
          <w:sz w:val="18"/>
          <w:szCs w:val="18"/>
          <w:lang w:val="en-US" w:eastAsia="zh-CN" w:bidi="ar-SA"/>
        </w:rPr>
      </w:pPr>
      <w:r>
        <w:rPr>
          <w:rFonts w:hint="eastAsia" w:ascii="华文仿宋" w:hAnsi="华文仿宋" w:eastAsia="华文仿宋" w:cs="华文仿宋"/>
          <w:sz w:val="18"/>
          <w:szCs w:val="18"/>
          <w:lang w:val="en-US" w:eastAsia="zh-CN" w:bidi="ar-SA"/>
        </w:rPr>
        <w:t>审批超时指授信审批、借款审批超时时间</w:t>
      </w:r>
    </w:p>
    <w:p>
      <w:pPr>
        <w:numPr>
          <w:ilvl w:val="0"/>
          <w:numId w:val="7"/>
        </w:numPr>
        <w:ind w:left="600" w:leftChars="0" w:right="0" w:rightChars="0" w:firstLine="0" w:firstLine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  <w:r>
        <w:rPr>
          <w:rFonts w:hint="eastAsia" w:ascii="华文仿宋" w:hAnsi="华文仿宋" w:eastAsia="华文仿宋" w:cs="华文仿宋"/>
          <w:sz w:val="18"/>
          <w:szCs w:val="18"/>
          <w:lang w:val="en-US" w:eastAsia="zh-CN" w:bidi="ar-SA"/>
        </w:rPr>
        <w:t>支持对逐个机构设置审批超时时间，审批超时处理方式</w:t>
      </w:r>
    </w:p>
    <w:p>
      <w:pPr>
        <w:numPr>
          <w:ilvl w:val="0"/>
          <w:numId w:val="7"/>
        </w:numPr>
        <w:ind w:left="600" w:leftChars="0" w:right="0" w:rightChars="0" w:firstLine="0" w:firstLine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  <w:r>
        <w:rPr>
          <w:rFonts w:hint="eastAsia" w:ascii="华文仿宋" w:hAnsi="华文仿宋" w:eastAsia="华文仿宋" w:cs="华文仿宋"/>
          <w:sz w:val="18"/>
          <w:szCs w:val="18"/>
          <w:lang w:val="en-US" w:eastAsia="zh-CN" w:bidi="ar-SA"/>
        </w:rPr>
        <w:t>上线时存量机构模式默认为审批超时处理为超时hold单等待结果，审批超时时间默认180s</w:t>
      </w:r>
    </w:p>
    <w:p>
      <w:pPr>
        <w:numPr>
          <w:ilvl w:val="0"/>
          <w:numId w:val="7"/>
        </w:numPr>
        <w:ind w:left="600" w:leftChars="0" w:right="0" w:rightChars="0" w:firstLine="0" w:firstLine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  <w:r>
        <w:rPr>
          <w:rFonts w:hint="eastAsia" w:ascii="华文仿宋" w:hAnsi="华文仿宋" w:eastAsia="华文仿宋" w:cs="华文仿宋"/>
          <w:sz w:val="18"/>
          <w:szCs w:val="18"/>
          <w:lang w:val="en-US" w:eastAsia="zh-CN" w:bidi="ar-SA"/>
        </w:rPr>
        <w:t>设置结果为超时订单设置失败时，则可将审批超时订单直接定义为失败</w:t>
      </w:r>
    </w:p>
    <w:p>
      <w:pPr>
        <w:numPr>
          <w:ilvl w:val="0"/>
          <w:numId w:val="7"/>
        </w:numPr>
        <w:ind w:left="600" w:leftChars="0" w:right="0" w:rightChars="0" w:firstLine="0" w:firstLine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  <w:r>
        <w:rPr>
          <w:rFonts w:hint="eastAsia" w:ascii="华文仿宋" w:hAnsi="华文仿宋" w:eastAsia="华文仿宋" w:cs="华文仿宋"/>
          <w:sz w:val="18"/>
          <w:szCs w:val="18"/>
          <w:lang w:val="en-US" w:eastAsia="zh-CN" w:bidi="ar-SA"/>
        </w:rPr>
        <w:t>审批超时订单需支持，放款结果通知资金方，通知结果为放款失败</w:t>
      </w:r>
      <w:bookmarkStart w:id="12" w:name="_GoBack"/>
      <w:bookmarkEnd w:id="12"/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86350" cy="4429125"/>
            <wp:effectExtent l="0" t="0" r="3810" b="5715"/>
            <wp:wrapTopAndBottom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p>
      <w:pPr>
        <w:numPr>
          <w:ilvl w:val="0"/>
          <w:numId w:val="0"/>
        </w:numPr>
        <w:ind w:left="330" w:leftChars="0" w:right="0" w:rightChars="0"/>
        <w:rPr>
          <w:rFonts w:hint="default" w:ascii="华文仿宋" w:hAnsi="华文仿宋" w:eastAsia="华文仿宋" w:cs="华文仿宋"/>
          <w:sz w:val="18"/>
          <w:szCs w:val="18"/>
          <w:lang w:val="en-US" w:eastAsia="zh-CN" w:bidi="ar-SA"/>
        </w:rPr>
      </w:pPr>
    </w:p>
    <w:sectPr>
      <w:pgSz w:w="11910" w:h="16840"/>
      <w:pgMar w:top="1420" w:right="1320" w:bottom="280" w:left="15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JP Black">
    <w:altName w:val="Segoe Print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654500"/>
    <w:multiLevelType w:val="singleLevel"/>
    <w:tmpl w:val="C965450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E3F056E"/>
    <w:multiLevelType w:val="singleLevel"/>
    <w:tmpl w:val="CE3F056E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E22CE705"/>
    <w:multiLevelType w:val="singleLevel"/>
    <w:tmpl w:val="E22CE705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00A95B25"/>
    <w:multiLevelType w:val="singleLevel"/>
    <w:tmpl w:val="00A95B25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1D09597B"/>
    <w:multiLevelType w:val="singleLevel"/>
    <w:tmpl w:val="1D09597B"/>
    <w:lvl w:ilvl="0" w:tentative="0">
      <w:start w:val="1"/>
      <w:numFmt w:val="decimal"/>
      <w:suff w:val="nothing"/>
      <w:lvlText w:val="%1、"/>
      <w:lvlJc w:val="left"/>
      <w:pPr>
        <w:ind w:left="600" w:leftChars="0" w:firstLine="0" w:firstLineChars="0"/>
      </w:pPr>
    </w:lvl>
  </w:abstractNum>
  <w:abstractNum w:abstractNumId="5">
    <w:nsid w:val="2D2B4DB6"/>
    <w:multiLevelType w:val="singleLevel"/>
    <w:tmpl w:val="2D2B4DB6"/>
    <w:lvl w:ilvl="0" w:tentative="0">
      <w:start w:val="1"/>
      <w:numFmt w:val="upperLetter"/>
      <w:suff w:val="nothing"/>
      <w:lvlText w:val="%1、"/>
      <w:lvlJc w:val="left"/>
      <w:pPr>
        <w:ind w:left="1080" w:leftChars="0" w:firstLine="0" w:firstLineChars="0"/>
      </w:pPr>
    </w:lvl>
  </w:abstractNum>
  <w:abstractNum w:abstractNumId="6">
    <w:nsid w:val="524DAB2F"/>
    <w:multiLevelType w:val="singleLevel"/>
    <w:tmpl w:val="524DAB2F"/>
    <w:lvl w:ilvl="0" w:tentative="0">
      <w:start w:val="1"/>
      <w:numFmt w:val="decimal"/>
      <w:suff w:val="nothing"/>
      <w:lvlText w:val="%1、"/>
      <w:lvlJc w:val="left"/>
      <w:pPr>
        <w:ind w:left="330" w:leftChars="0" w:firstLine="0" w:firstLineChars="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000000"/>
    <w:rsid w:val="005B7FE4"/>
    <w:rsid w:val="007435FB"/>
    <w:rsid w:val="013F53AE"/>
    <w:rsid w:val="018F0B1E"/>
    <w:rsid w:val="02077286"/>
    <w:rsid w:val="02A82951"/>
    <w:rsid w:val="03245D73"/>
    <w:rsid w:val="03A76CBB"/>
    <w:rsid w:val="03CF48D0"/>
    <w:rsid w:val="045D3A62"/>
    <w:rsid w:val="046A6CCD"/>
    <w:rsid w:val="04830723"/>
    <w:rsid w:val="04AE6D35"/>
    <w:rsid w:val="04ED7AB6"/>
    <w:rsid w:val="05AA5AB7"/>
    <w:rsid w:val="05D94925"/>
    <w:rsid w:val="06095474"/>
    <w:rsid w:val="06877ECF"/>
    <w:rsid w:val="06EA311A"/>
    <w:rsid w:val="07254947"/>
    <w:rsid w:val="07ED4390"/>
    <w:rsid w:val="07ED49ED"/>
    <w:rsid w:val="08733D84"/>
    <w:rsid w:val="08A94EFF"/>
    <w:rsid w:val="09005E93"/>
    <w:rsid w:val="09AC48DD"/>
    <w:rsid w:val="09BD341A"/>
    <w:rsid w:val="09FD1B72"/>
    <w:rsid w:val="0A067AB9"/>
    <w:rsid w:val="0A58658E"/>
    <w:rsid w:val="0A773A3A"/>
    <w:rsid w:val="0A8E1C3B"/>
    <w:rsid w:val="0AB51500"/>
    <w:rsid w:val="0AFC1A95"/>
    <w:rsid w:val="0B9D4FC6"/>
    <w:rsid w:val="0C4061AC"/>
    <w:rsid w:val="0C5010C1"/>
    <w:rsid w:val="0CB877EC"/>
    <w:rsid w:val="0CFC5ED1"/>
    <w:rsid w:val="0D966318"/>
    <w:rsid w:val="0DDB5E24"/>
    <w:rsid w:val="0EB15D2A"/>
    <w:rsid w:val="0ECA16D9"/>
    <w:rsid w:val="0F4F7AEC"/>
    <w:rsid w:val="0F750318"/>
    <w:rsid w:val="0FA66BBA"/>
    <w:rsid w:val="0FC6429F"/>
    <w:rsid w:val="102E0D8B"/>
    <w:rsid w:val="108230A5"/>
    <w:rsid w:val="10E64CED"/>
    <w:rsid w:val="118306C9"/>
    <w:rsid w:val="11B54A9B"/>
    <w:rsid w:val="127534D5"/>
    <w:rsid w:val="12D06F09"/>
    <w:rsid w:val="12DA0B7A"/>
    <w:rsid w:val="12E13E89"/>
    <w:rsid w:val="135A3A42"/>
    <w:rsid w:val="138665C3"/>
    <w:rsid w:val="138D7608"/>
    <w:rsid w:val="138F59EF"/>
    <w:rsid w:val="148D73C8"/>
    <w:rsid w:val="14B80247"/>
    <w:rsid w:val="14F831F4"/>
    <w:rsid w:val="14F96EC5"/>
    <w:rsid w:val="15424A0C"/>
    <w:rsid w:val="154767F6"/>
    <w:rsid w:val="15AF0B2A"/>
    <w:rsid w:val="15F82B0D"/>
    <w:rsid w:val="160A0515"/>
    <w:rsid w:val="161273C4"/>
    <w:rsid w:val="166F68D3"/>
    <w:rsid w:val="168C065D"/>
    <w:rsid w:val="1697392C"/>
    <w:rsid w:val="16C30083"/>
    <w:rsid w:val="16DF5613"/>
    <w:rsid w:val="17432752"/>
    <w:rsid w:val="178F3BBE"/>
    <w:rsid w:val="17DB0804"/>
    <w:rsid w:val="18916CA3"/>
    <w:rsid w:val="18A37BC2"/>
    <w:rsid w:val="18BA4AFC"/>
    <w:rsid w:val="18BD083F"/>
    <w:rsid w:val="18C2471A"/>
    <w:rsid w:val="193322F8"/>
    <w:rsid w:val="19B92998"/>
    <w:rsid w:val="19E52087"/>
    <w:rsid w:val="19F0043A"/>
    <w:rsid w:val="1B7802A0"/>
    <w:rsid w:val="1B905946"/>
    <w:rsid w:val="1BB806B1"/>
    <w:rsid w:val="1C340653"/>
    <w:rsid w:val="1C8E5300"/>
    <w:rsid w:val="1CD85F32"/>
    <w:rsid w:val="1D14401B"/>
    <w:rsid w:val="1D376E46"/>
    <w:rsid w:val="1D60233E"/>
    <w:rsid w:val="1D6F5681"/>
    <w:rsid w:val="1E660212"/>
    <w:rsid w:val="1E7D4E24"/>
    <w:rsid w:val="1EA82A94"/>
    <w:rsid w:val="1F315B9E"/>
    <w:rsid w:val="1F646044"/>
    <w:rsid w:val="1F912623"/>
    <w:rsid w:val="20C96E58"/>
    <w:rsid w:val="213831F5"/>
    <w:rsid w:val="214F147B"/>
    <w:rsid w:val="21857AB8"/>
    <w:rsid w:val="21B568E3"/>
    <w:rsid w:val="22315125"/>
    <w:rsid w:val="22711792"/>
    <w:rsid w:val="232A76B1"/>
    <w:rsid w:val="23BA769F"/>
    <w:rsid w:val="23D30931"/>
    <w:rsid w:val="23EC61AD"/>
    <w:rsid w:val="23FF7120"/>
    <w:rsid w:val="24136DAE"/>
    <w:rsid w:val="243B09FD"/>
    <w:rsid w:val="24857102"/>
    <w:rsid w:val="24F54ED4"/>
    <w:rsid w:val="25212E0F"/>
    <w:rsid w:val="2523375C"/>
    <w:rsid w:val="2537799C"/>
    <w:rsid w:val="254150F7"/>
    <w:rsid w:val="259F1096"/>
    <w:rsid w:val="25BE025E"/>
    <w:rsid w:val="25DC288F"/>
    <w:rsid w:val="25F30ACA"/>
    <w:rsid w:val="261D4255"/>
    <w:rsid w:val="2624631F"/>
    <w:rsid w:val="26436A81"/>
    <w:rsid w:val="268E37D0"/>
    <w:rsid w:val="26D0155A"/>
    <w:rsid w:val="26DA77C8"/>
    <w:rsid w:val="271279F0"/>
    <w:rsid w:val="278600DD"/>
    <w:rsid w:val="281C648C"/>
    <w:rsid w:val="285F5C4A"/>
    <w:rsid w:val="28CC5E92"/>
    <w:rsid w:val="29771BB7"/>
    <w:rsid w:val="29B46997"/>
    <w:rsid w:val="2AA15344"/>
    <w:rsid w:val="2B833767"/>
    <w:rsid w:val="2BCC3368"/>
    <w:rsid w:val="2C2A7F66"/>
    <w:rsid w:val="2C74067E"/>
    <w:rsid w:val="2C905062"/>
    <w:rsid w:val="2CB35FE4"/>
    <w:rsid w:val="2CD34560"/>
    <w:rsid w:val="2D125C8B"/>
    <w:rsid w:val="2DD1014D"/>
    <w:rsid w:val="2DF32EBD"/>
    <w:rsid w:val="2E1E1287"/>
    <w:rsid w:val="2E207390"/>
    <w:rsid w:val="2E214F56"/>
    <w:rsid w:val="2E8D0E3E"/>
    <w:rsid w:val="2EBE3D34"/>
    <w:rsid w:val="2F0A5D82"/>
    <w:rsid w:val="2F48433D"/>
    <w:rsid w:val="2FCC0D04"/>
    <w:rsid w:val="2FE276F8"/>
    <w:rsid w:val="30046142"/>
    <w:rsid w:val="30384CD1"/>
    <w:rsid w:val="305A4822"/>
    <w:rsid w:val="30657504"/>
    <w:rsid w:val="30696F79"/>
    <w:rsid w:val="312F34BF"/>
    <w:rsid w:val="32363B32"/>
    <w:rsid w:val="32BC1D7F"/>
    <w:rsid w:val="33804209"/>
    <w:rsid w:val="339C0B03"/>
    <w:rsid w:val="33C9559F"/>
    <w:rsid w:val="33DC3502"/>
    <w:rsid w:val="341430B6"/>
    <w:rsid w:val="34731E32"/>
    <w:rsid w:val="34A45FE9"/>
    <w:rsid w:val="34B770D5"/>
    <w:rsid w:val="35092088"/>
    <w:rsid w:val="356F73D8"/>
    <w:rsid w:val="35B07503"/>
    <w:rsid w:val="360C20B8"/>
    <w:rsid w:val="3615442F"/>
    <w:rsid w:val="36F55ECA"/>
    <w:rsid w:val="37042CD1"/>
    <w:rsid w:val="37535C53"/>
    <w:rsid w:val="376775BC"/>
    <w:rsid w:val="378F2234"/>
    <w:rsid w:val="37C914DF"/>
    <w:rsid w:val="37DE5D82"/>
    <w:rsid w:val="384719E3"/>
    <w:rsid w:val="38A336B2"/>
    <w:rsid w:val="38FD6FCB"/>
    <w:rsid w:val="39A602A7"/>
    <w:rsid w:val="39E610DB"/>
    <w:rsid w:val="3A5C0005"/>
    <w:rsid w:val="3AAE643D"/>
    <w:rsid w:val="3AB05791"/>
    <w:rsid w:val="3B0954D1"/>
    <w:rsid w:val="3B5B34E7"/>
    <w:rsid w:val="3B7E0C38"/>
    <w:rsid w:val="3B894AC7"/>
    <w:rsid w:val="3BAC44C6"/>
    <w:rsid w:val="3C065483"/>
    <w:rsid w:val="3C165EA1"/>
    <w:rsid w:val="3C192DCA"/>
    <w:rsid w:val="3C7B3647"/>
    <w:rsid w:val="3CB85FFE"/>
    <w:rsid w:val="3CE50E2B"/>
    <w:rsid w:val="3D5D28F2"/>
    <w:rsid w:val="3D694EED"/>
    <w:rsid w:val="3DB53C5A"/>
    <w:rsid w:val="3DCE722F"/>
    <w:rsid w:val="3EC51715"/>
    <w:rsid w:val="3EE871B1"/>
    <w:rsid w:val="3F3C0C4C"/>
    <w:rsid w:val="3F5172E7"/>
    <w:rsid w:val="3F5D1180"/>
    <w:rsid w:val="3F7A66FA"/>
    <w:rsid w:val="3FE710E5"/>
    <w:rsid w:val="3FFC7502"/>
    <w:rsid w:val="40727B47"/>
    <w:rsid w:val="407E1FFE"/>
    <w:rsid w:val="40882346"/>
    <w:rsid w:val="40F53FFC"/>
    <w:rsid w:val="4141335D"/>
    <w:rsid w:val="416909EC"/>
    <w:rsid w:val="41E067F7"/>
    <w:rsid w:val="421A7E5D"/>
    <w:rsid w:val="423E5218"/>
    <w:rsid w:val="42646EFA"/>
    <w:rsid w:val="4266634C"/>
    <w:rsid w:val="42FA74B4"/>
    <w:rsid w:val="431D0562"/>
    <w:rsid w:val="447C11B8"/>
    <w:rsid w:val="44EA211C"/>
    <w:rsid w:val="456C4078"/>
    <w:rsid w:val="458C2FEB"/>
    <w:rsid w:val="4593033A"/>
    <w:rsid w:val="46201FC0"/>
    <w:rsid w:val="46562673"/>
    <w:rsid w:val="468A3DC6"/>
    <w:rsid w:val="47544B14"/>
    <w:rsid w:val="47DA7498"/>
    <w:rsid w:val="47F67F2B"/>
    <w:rsid w:val="47F8205C"/>
    <w:rsid w:val="480C1415"/>
    <w:rsid w:val="481A067E"/>
    <w:rsid w:val="481C07B8"/>
    <w:rsid w:val="4884223E"/>
    <w:rsid w:val="48BC2DE1"/>
    <w:rsid w:val="48D87584"/>
    <w:rsid w:val="4A20161B"/>
    <w:rsid w:val="4A82289A"/>
    <w:rsid w:val="4A847C0A"/>
    <w:rsid w:val="4A8658D0"/>
    <w:rsid w:val="4BC94D4F"/>
    <w:rsid w:val="4C8160CC"/>
    <w:rsid w:val="4C825234"/>
    <w:rsid w:val="4CF37211"/>
    <w:rsid w:val="4CF37AF3"/>
    <w:rsid w:val="4D562061"/>
    <w:rsid w:val="4D6A7275"/>
    <w:rsid w:val="4E716872"/>
    <w:rsid w:val="4E7227BD"/>
    <w:rsid w:val="4E846964"/>
    <w:rsid w:val="4F0D06C9"/>
    <w:rsid w:val="4F1426B9"/>
    <w:rsid w:val="4F143711"/>
    <w:rsid w:val="51334215"/>
    <w:rsid w:val="51666D63"/>
    <w:rsid w:val="517A4EB9"/>
    <w:rsid w:val="51827D47"/>
    <w:rsid w:val="518D60D8"/>
    <w:rsid w:val="51A25B04"/>
    <w:rsid w:val="525C2A06"/>
    <w:rsid w:val="526450B0"/>
    <w:rsid w:val="527E7795"/>
    <w:rsid w:val="52844E9F"/>
    <w:rsid w:val="529F6DA8"/>
    <w:rsid w:val="52D61D17"/>
    <w:rsid w:val="53D45386"/>
    <w:rsid w:val="542311AF"/>
    <w:rsid w:val="54295F0A"/>
    <w:rsid w:val="54352F36"/>
    <w:rsid w:val="54553262"/>
    <w:rsid w:val="5494378D"/>
    <w:rsid w:val="54DE7749"/>
    <w:rsid w:val="54E570D4"/>
    <w:rsid w:val="54E838DC"/>
    <w:rsid w:val="5583350C"/>
    <w:rsid w:val="5591005E"/>
    <w:rsid w:val="55E34DF9"/>
    <w:rsid w:val="560621EA"/>
    <w:rsid w:val="560B6EB6"/>
    <w:rsid w:val="564B4FFD"/>
    <w:rsid w:val="56CA1873"/>
    <w:rsid w:val="578F6107"/>
    <w:rsid w:val="58A618B6"/>
    <w:rsid w:val="591B0AE6"/>
    <w:rsid w:val="59566D2C"/>
    <w:rsid w:val="59AB714B"/>
    <w:rsid w:val="59F3027C"/>
    <w:rsid w:val="5A405ED7"/>
    <w:rsid w:val="5A436627"/>
    <w:rsid w:val="5A76188F"/>
    <w:rsid w:val="5AF11C42"/>
    <w:rsid w:val="5B4211F4"/>
    <w:rsid w:val="5B841BB9"/>
    <w:rsid w:val="5B887FAD"/>
    <w:rsid w:val="5C3B6762"/>
    <w:rsid w:val="5C3F18E4"/>
    <w:rsid w:val="5C487F1C"/>
    <w:rsid w:val="5C68227A"/>
    <w:rsid w:val="5C6975E8"/>
    <w:rsid w:val="5CCA1A98"/>
    <w:rsid w:val="5D02165B"/>
    <w:rsid w:val="5D2C6598"/>
    <w:rsid w:val="5D9716DC"/>
    <w:rsid w:val="5E3C3929"/>
    <w:rsid w:val="5E535813"/>
    <w:rsid w:val="5F2466BD"/>
    <w:rsid w:val="5F500432"/>
    <w:rsid w:val="5FAF1274"/>
    <w:rsid w:val="600A2161"/>
    <w:rsid w:val="606F6E2D"/>
    <w:rsid w:val="60CB6367"/>
    <w:rsid w:val="618102A6"/>
    <w:rsid w:val="61B27827"/>
    <w:rsid w:val="61FF477B"/>
    <w:rsid w:val="622C18D2"/>
    <w:rsid w:val="6235486F"/>
    <w:rsid w:val="62E609D4"/>
    <w:rsid w:val="6310572B"/>
    <w:rsid w:val="636B232C"/>
    <w:rsid w:val="636C752A"/>
    <w:rsid w:val="639A3136"/>
    <w:rsid w:val="63D53F5A"/>
    <w:rsid w:val="646B664C"/>
    <w:rsid w:val="64C62EE6"/>
    <w:rsid w:val="64DC6877"/>
    <w:rsid w:val="64DD0F09"/>
    <w:rsid w:val="656573CD"/>
    <w:rsid w:val="683B2945"/>
    <w:rsid w:val="688A1766"/>
    <w:rsid w:val="68F675B2"/>
    <w:rsid w:val="690072CB"/>
    <w:rsid w:val="691C61CF"/>
    <w:rsid w:val="694532CD"/>
    <w:rsid w:val="696C3FF0"/>
    <w:rsid w:val="6A15012C"/>
    <w:rsid w:val="6A984F72"/>
    <w:rsid w:val="6AC170D1"/>
    <w:rsid w:val="6B2F08CF"/>
    <w:rsid w:val="6B3A643C"/>
    <w:rsid w:val="6B7E06E8"/>
    <w:rsid w:val="6BA9118E"/>
    <w:rsid w:val="6C3049B1"/>
    <w:rsid w:val="6C3604DD"/>
    <w:rsid w:val="6C5C7737"/>
    <w:rsid w:val="6CB470F6"/>
    <w:rsid w:val="6CEC303A"/>
    <w:rsid w:val="6D001CA6"/>
    <w:rsid w:val="6D2C593C"/>
    <w:rsid w:val="6DDC72CD"/>
    <w:rsid w:val="6E4E2420"/>
    <w:rsid w:val="6E572F10"/>
    <w:rsid w:val="6EAE1586"/>
    <w:rsid w:val="6F9E5CA8"/>
    <w:rsid w:val="6FA779FC"/>
    <w:rsid w:val="6FFA05FB"/>
    <w:rsid w:val="7013378B"/>
    <w:rsid w:val="703178DD"/>
    <w:rsid w:val="70390365"/>
    <w:rsid w:val="7125511F"/>
    <w:rsid w:val="71BE777B"/>
    <w:rsid w:val="71D21976"/>
    <w:rsid w:val="71EE0498"/>
    <w:rsid w:val="71F11D24"/>
    <w:rsid w:val="72533894"/>
    <w:rsid w:val="72AF1D34"/>
    <w:rsid w:val="748128C1"/>
    <w:rsid w:val="75182B53"/>
    <w:rsid w:val="75550689"/>
    <w:rsid w:val="7574614E"/>
    <w:rsid w:val="75AE2F7A"/>
    <w:rsid w:val="7664734F"/>
    <w:rsid w:val="76A82C12"/>
    <w:rsid w:val="77547945"/>
    <w:rsid w:val="775C20C8"/>
    <w:rsid w:val="78324C54"/>
    <w:rsid w:val="783C2CCF"/>
    <w:rsid w:val="79144F09"/>
    <w:rsid w:val="791B0635"/>
    <w:rsid w:val="793376BF"/>
    <w:rsid w:val="79435A80"/>
    <w:rsid w:val="797A3449"/>
    <w:rsid w:val="79A575DC"/>
    <w:rsid w:val="7B562C09"/>
    <w:rsid w:val="7B7A0423"/>
    <w:rsid w:val="7B920106"/>
    <w:rsid w:val="7BCC76A8"/>
    <w:rsid w:val="7C3F33A4"/>
    <w:rsid w:val="7D1463FC"/>
    <w:rsid w:val="7D1E66C8"/>
    <w:rsid w:val="7D6735DF"/>
    <w:rsid w:val="7DB63B92"/>
    <w:rsid w:val="7DF80F37"/>
    <w:rsid w:val="7E5F763F"/>
    <w:rsid w:val="7F8519C2"/>
    <w:rsid w:val="7FE00A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Noto Sans CJK JP Black" w:hAnsi="Noto Sans CJK JP Black" w:eastAsia="Noto Sans CJK JP Black" w:cs="Noto Sans CJK JP Black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1019" w:hanging="800"/>
      <w:outlineLvl w:val="1"/>
    </w:pPr>
    <w:rPr>
      <w:rFonts w:ascii="Noto Sans CJK JP Black" w:hAnsi="Noto Sans CJK JP Black" w:eastAsia="Noto Sans CJK JP Black" w:cs="Noto Sans CJK JP Black"/>
      <w:sz w:val="32"/>
      <w:szCs w:val="3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Noto Sans CJK JP Black" w:hAnsi="Noto Sans CJK JP Black" w:eastAsia="Noto Sans CJK JP Black" w:cs="Noto Sans CJK JP Black"/>
      <w:sz w:val="24"/>
      <w:szCs w:val="24"/>
      <w:lang w:val="en-US" w:eastAsia="zh-CN" w:bidi="ar-SA"/>
    </w:rPr>
  </w:style>
  <w:style w:type="paragraph" w:styleId="4">
    <w:name w:val="toc 1"/>
    <w:basedOn w:val="1"/>
    <w:next w:val="1"/>
    <w:qFormat/>
    <w:uiPriority w:val="1"/>
    <w:pPr>
      <w:spacing w:line="312" w:lineRule="exact"/>
      <w:ind w:left="640"/>
    </w:pPr>
    <w:rPr>
      <w:rFonts w:ascii="Noto Sans CJK JP Black" w:hAnsi="Noto Sans CJK JP Black" w:eastAsia="Noto Sans CJK JP Black" w:cs="Noto Sans CJK JP Black"/>
      <w:sz w:val="21"/>
      <w:szCs w:val="21"/>
      <w:lang w:val="en-US" w:eastAsia="zh-CN" w:bidi="ar-SA"/>
    </w:rPr>
  </w:style>
  <w:style w:type="paragraph" w:styleId="5">
    <w:name w:val="toc 2"/>
    <w:basedOn w:val="1"/>
    <w:next w:val="1"/>
    <w:qFormat/>
    <w:uiPriority w:val="1"/>
    <w:pPr>
      <w:spacing w:line="312" w:lineRule="exact"/>
      <w:ind w:left="1586" w:hanging="526"/>
    </w:pPr>
    <w:rPr>
      <w:rFonts w:ascii="Noto Sans CJK JP Black" w:hAnsi="Noto Sans CJK JP Black" w:eastAsia="Noto Sans CJK JP Black" w:cs="Noto Sans CJK JP Black"/>
      <w:sz w:val="21"/>
      <w:szCs w:val="21"/>
      <w:lang w:val="en-US" w:eastAsia="zh-CN" w:bidi="ar-SA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line="312" w:lineRule="exact"/>
      <w:ind w:left="1019" w:hanging="800"/>
    </w:pPr>
    <w:rPr>
      <w:rFonts w:ascii="Noto Sans CJK JP Black" w:hAnsi="Noto Sans CJK JP Black" w:eastAsia="Noto Sans CJK JP Black" w:cs="Noto Sans CJK JP Black"/>
      <w:lang w:val="en-US" w:eastAsia="zh-CN" w:bidi="ar-SA"/>
    </w:rPr>
  </w:style>
  <w:style w:type="paragraph" w:customStyle="1" w:styleId="11">
    <w:name w:val="Table Paragraph"/>
    <w:basedOn w:val="1"/>
    <w:qFormat/>
    <w:uiPriority w:val="1"/>
    <w:rPr>
      <w:rFonts w:ascii="Noto Sans CJK JP Black" w:hAnsi="Noto Sans CJK JP Black" w:eastAsia="Noto Sans CJK JP Black" w:cs="Noto Sans CJK JP Black"/>
      <w:lang w:val="en-US" w:eastAsia="zh-CN" w:bidi="ar-SA"/>
    </w:rPr>
  </w:style>
  <w:style w:type="paragraph" w:customStyle="1" w:styleId="12">
    <w:name w:val="表格文字"/>
    <w:basedOn w:val="1"/>
    <w:qFormat/>
    <w:uiPriority w:val="0"/>
    <w:pPr>
      <w:snapToGrid w:val="0"/>
      <w:spacing w:before="60" w:after="60"/>
      <w:jc w:val="center"/>
      <w:textAlignment w:val="baseline"/>
    </w:pPr>
    <w:rPr>
      <w:rFonts w:ascii="Times New Roman" w:hAnsi="Times New Roman" w:eastAsia="宋体" w:cs="Times New Roman"/>
      <w:kern w:val="0"/>
      <w:sz w:val="18"/>
      <w:szCs w:val="20"/>
    </w:rPr>
  </w:style>
  <w:style w:type="table" w:customStyle="1" w:styleId="13">
    <w:name w:val="List Table 3"/>
    <w:basedOn w:val="6"/>
    <w:qFormat/>
    <w:uiPriority w:val="48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cPr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0000" w:themeColor="text1" w:sz="4" w:space="0"/>
          <w:left w:val="nil"/>
        </w:tcBorders>
      </w:tcPr>
    </w:tblStylePr>
    <w:tblStylePr w:type="swCell">
      <w:tcPr>
        <w:tcBorders>
          <w:top w:val="double" w:color="000000" w:themeColor="text1" w:sz="4" w:space="0"/>
          <w:right w:val="nil"/>
        </w:tcBorders>
      </w:tcPr>
    </w:tblStylePr>
  </w:style>
  <w:style w:type="paragraph" w:customStyle="1" w:styleId="1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15">
    <w:name w:val="font11"/>
    <w:basedOn w:val="8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6">
    <w:name w:val="font41"/>
    <w:basedOn w:val="8"/>
    <w:qFormat/>
    <w:uiPriority w:val="0"/>
    <w:rPr>
      <w:rFonts w:hint="eastAsia" w:ascii="微软雅黑" w:hAnsi="微软雅黑" w:eastAsia="微软雅黑" w:cs="微软雅黑"/>
      <w:color w:val="FF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ScaleCrop>false</ScaleCrop>
  <LinksUpToDate>false</LinksUpToDate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2021-06-10T03:06:00Z</dcterms:created>
  <dc:creator>Administrator</dc:creator>
  <cp:lastModifiedBy>FM</cp:lastModifiedBy>
  <dcterms:modified xsi:type="dcterms:W3CDTF">2025-03-21T01:45:42Z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2016-02-14T00:00:00Z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2021-06-10T00:00:00Z</vt:filetime>
  </property>
  <property fmtid="{D5CDD505-2E9C-101B-9397-08002B2CF9AE}" pid="5" name="KSOProductBuildVer">
    <vt:lpwstr>2052-11.8.2.12085</vt:lpwstr>
  </property>
  <property fmtid="{D5CDD505-2E9C-101B-9397-08002B2CF9AE}" pid="6" name="ICV">
    <vt:lpwstr>0296B22DC4104FABB91CD3F989EF67F5</vt:lpwstr>
  </property>
</Properties>
</file>