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rFonts w:ascii="Calibri" w:hAnsi="Calibri"/>
          <w:b/>
          <w:color w:val="000000"/>
          <w:sz w:val="32"/>
        </w:rPr>
        <w:t>PETER SIMMONS</w:t>
      </w:r>
    </w:p>
    <w:p>
      <w:pPr>
        <w:pStyle w:val="Normal"/>
        <w:spacing w:before="0" w:after="40"/>
        <w:jc w:val="center"/>
        <w:rPr/>
      </w:pPr>
      <w:r>
        <w:rPr>
          <w:rFonts w:ascii="Calibri" w:hAnsi="Calibri"/>
          <w:b w:val="false"/>
          <w:color w:val="000000"/>
          <w:sz w:val="24"/>
        </w:rPr>
        <w:t>Senior Sales Engineer | Cyber Threat Intelligence</w:t>
      </w:r>
    </w:p>
    <w:p>
      <w:pPr>
        <w:pStyle w:val="Normal"/>
        <w:spacing w:before="0" w:after="160"/>
        <w:jc w:val="center"/>
        <w:rPr/>
      </w:pPr>
      <w:r>
        <w:rPr>
          <w:rFonts w:ascii="Calibri" w:hAnsi="Calibri"/>
          <w:b w:val="false"/>
          <w:color w:val="000000"/>
          <w:sz w:val="22"/>
        </w:rPr>
        <w:t>Holly Springs, GA 30115  |  404-786-1683  |  peter.simmons.ga@gmail.com  |  linkedin.com/in/peter-simmons</w:t>
      </w:r>
    </w:p>
    <w:p>
      <w:pPr>
        <w:pStyle w:val="Normal"/>
        <w:pBdr>
          <w:bottom w:val="single" w:sz="6" w:space="1" w:color="000000"/>
        </w:pBdr>
        <w:spacing w:before="200" w:after="40"/>
        <w:rPr/>
      </w:pPr>
      <w:r>
        <w:rPr>
          <w:rFonts w:ascii="Calibri" w:hAnsi="Calibri"/>
          <w:b/>
          <w:color w:val="000000"/>
          <w:sz w:val="22"/>
        </w:rPr>
        <w:t>PROFESSIONAL SUMMARY</w:t>
      </w:r>
    </w:p>
    <w:p>
      <w:pPr>
        <w:pStyle w:val="Normal"/>
        <w:spacing w:before="0" w:after="80"/>
        <w:rPr/>
      </w:pPr>
      <w:r>
        <w:rPr>
          <w:rFonts w:ascii="Calibri" w:hAnsi="Calibri"/>
          <w:b w:val="false"/>
          <w:color w:val="000000"/>
          <w:sz w:val="22"/>
        </w:rPr>
        <w:t>Senior Sales Engineer with 25+ years closing enterprise cybersecurity deals for Fortune 500 and DOW 30 accounts — $30–50M in annual regional revenue, 3 DOW 30 conversions, and 6+ accounts exceeding 100,000 endpoints. Currently building an AI-powered security intelligence platform using multi-agent orchestration and Kubernetes infrastructure. Specialized in Cyber Threat Intelligence, EDR/XDR, AI SIEM, and Cloud Security (CNAPP/CSPM/CWPP) with deep technical credibility in threat hunting, IOC investigation, MITRE ATT&amp;CK-aligned detection, and cloud-native security across AWS, Azure, and GCP. Known for translating complex security architecture into measurable business value for CISOs and executive stakeholders.</w:t>
      </w:r>
    </w:p>
    <w:p>
      <w:pPr>
        <w:pStyle w:val="Normal"/>
        <w:pBdr>
          <w:bottom w:val="single" w:sz="6" w:space="1" w:color="000000"/>
        </w:pBdr>
        <w:spacing w:before="200" w:after="40"/>
        <w:rPr/>
      </w:pPr>
      <w:r>
        <w:rPr>
          <w:rFonts w:ascii="Calibri" w:hAnsi="Calibri"/>
          <w:b/>
          <w:color w:val="000000"/>
          <w:sz w:val="22"/>
        </w:rPr>
        <w:t>CORE COMPETENCIES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Threat Intelligence Operations: </w:t>
      </w:r>
      <w:r>
        <w:rPr>
          <w:rFonts w:ascii="Calibri" w:hAnsi="Calibri"/>
          <w:b w:val="false"/>
          <w:color w:val="000000"/>
          <w:sz w:val="22"/>
        </w:rPr>
        <w:t>IOC investigation, threat correlation, adversary TTPs analysis, feed integration across EDR/XDR/SIEM platforms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Threat Hunting &amp; Investigation: </w:t>
      </w:r>
      <w:r>
        <w:rPr>
          <w:rFonts w:ascii="Calibri" w:hAnsi="Calibri"/>
          <w:b w:val="false"/>
          <w:color w:val="000000"/>
          <w:sz w:val="22"/>
        </w:rPr>
        <w:t>Deep IOC searches, AI/ML-assisted query construction, cross-platform log correlation, XDR Cloud Data Lake forensics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Cloud Security (CWPP/CNAPP/CSPM): </w:t>
      </w:r>
      <w:r>
        <w:rPr>
          <w:rFonts w:ascii="Calibri" w:hAnsi="Calibri"/>
          <w:b w:val="false"/>
          <w:color w:val="000000"/>
          <w:sz w:val="22"/>
        </w:rPr>
        <w:t>Kubernetes and Docker runtime security, container threat detection, attack surface discovery across AWS/Azure/GCP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Zero Trust &amp; Security Architecture: </w:t>
      </w:r>
      <w:r>
        <w:rPr>
          <w:rFonts w:ascii="Calibri" w:hAnsi="Calibri"/>
          <w:b w:val="false"/>
          <w:color w:val="000000"/>
          <w:sz w:val="22"/>
        </w:rPr>
        <w:t>Threat detection workflow design, SIEM/SOAR integration, OSINT, commercial, and dark web feed orchestration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Enterprise Pre-Sales Excellence: </w:t>
      </w:r>
      <w:r>
        <w:rPr>
          <w:rFonts w:ascii="Calibri" w:hAnsi="Calibri"/>
          <w:b w:val="false"/>
          <w:color w:val="000000"/>
          <w:sz w:val="22"/>
        </w:rPr>
        <w:t>Proof-of-Concept delivery, competitive technical evaluations, executive presentations, Fortune 500 customer enablement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Consultative Sales: </w:t>
      </w:r>
      <w:r>
        <w:rPr>
          <w:rFonts w:ascii="Calibri" w:hAnsi="Calibri"/>
          <w:b w:val="false"/>
          <w:color w:val="000000"/>
          <w:sz w:val="22"/>
        </w:rPr>
        <w:t>Solutions positioning, roadmaps, requirements gathering, cross-sell expansion, and renewal management</w:t>
      </w:r>
    </w:p>
    <w:p>
      <w:pPr>
        <w:pStyle w:val="Normal"/>
        <w:pBdr>
          <w:bottom w:val="single" w:sz="6" w:space="1" w:color="000000"/>
        </w:pBdr>
        <w:spacing w:before="200" w:after="40"/>
        <w:rPr/>
      </w:pPr>
      <w:r>
        <w:rPr>
          <w:rFonts w:ascii="Calibri" w:hAnsi="Calibri"/>
          <w:b/>
          <w:color w:val="000000"/>
          <w:sz w:val="22"/>
        </w:rPr>
        <w:t>TECHNICAL SKILLS</w:t>
      </w:r>
    </w:p>
    <w:p>
      <w:pPr>
        <w:pStyle w:val="Normal"/>
        <w:spacing w:before="40" w:after="40"/>
        <w:rPr/>
      </w:pPr>
      <w:r>
        <w:rPr>
          <w:rFonts w:ascii="Calibri" w:hAnsi="Calibri"/>
          <w:b/>
          <w:color w:val="000000"/>
          <w:sz w:val="22"/>
        </w:rPr>
        <w:t xml:space="preserve">Threat Intelligence &amp; Detection: </w:t>
      </w:r>
      <w:r>
        <w:rPr>
          <w:rFonts w:ascii="Calibri" w:hAnsi="Calibri"/>
          <w:b w:val="false"/>
          <w:color w:val="000000"/>
          <w:sz w:val="22"/>
        </w:rPr>
        <w:t>IOC Investigation, Threat Hunting, OSINT, TTPs Analysis, Adversary Tracking, Dark Web Intelligence, Attack Surface Monitoring, Threat Intelligence Platform (TIP), STIX/TAXII, Kill Chain Analysis</w:t>
      </w:r>
    </w:p>
    <w:p>
      <w:pPr>
        <w:pStyle w:val="Normal"/>
        <w:spacing w:before="40" w:after="40"/>
        <w:rPr/>
      </w:pPr>
      <w:r>
        <w:rPr>
          <w:rFonts w:ascii="Calibri" w:hAnsi="Calibri"/>
          <w:b/>
          <w:color w:val="000000"/>
          <w:sz w:val="22"/>
        </w:rPr>
        <w:t xml:space="preserve">EDR/XDR/SIEM/SOAR Platforms: </w:t>
      </w:r>
      <w:r>
        <w:rPr>
          <w:rFonts w:ascii="Calibri" w:hAnsi="Calibri"/>
          <w:b w:val="false"/>
          <w:color w:val="000000"/>
          <w:sz w:val="22"/>
        </w:rPr>
        <w:t>SentinelOne, XDR Cloud Data Lake, AI SIEM (Purple AI), Next-Gen AV, Deep IOC Searches, Log Correlation, Threat Feed Integration, AI/ML Query Construction</w:t>
      </w:r>
    </w:p>
    <w:p>
      <w:pPr>
        <w:pStyle w:val="Normal"/>
        <w:spacing w:before="40" w:after="40"/>
        <w:rPr/>
      </w:pPr>
      <w:r>
        <w:rPr>
          <w:rFonts w:ascii="Calibri" w:hAnsi="Calibri"/>
          <w:b/>
          <w:color w:val="000000"/>
          <w:sz w:val="22"/>
        </w:rPr>
        <w:t xml:space="preserve">Cloud Security: </w:t>
      </w:r>
      <w:r>
        <w:rPr>
          <w:rFonts w:ascii="Calibri" w:hAnsi="Calibri"/>
          <w:b w:val="false"/>
          <w:color w:val="000000"/>
          <w:sz w:val="22"/>
        </w:rPr>
        <w:t>CNAPP, CSPM, CWPP, AWS, Azure, GCP, Zero Trust Architecture, CI/CD Security, Container Security, Kubernetes, Docker, Terraform, Ansible</w:t>
      </w:r>
    </w:p>
    <w:p>
      <w:pPr>
        <w:pStyle w:val="Normal"/>
        <w:spacing w:before="40" w:after="40"/>
        <w:rPr/>
      </w:pPr>
      <w:r>
        <w:rPr>
          <w:rFonts w:ascii="Calibri" w:hAnsi="Calibri"/>
          <w:b/>
          <w:color w:val="000000"/>
          <w:sz w:val="22"/>
        </w:rPr>
        <w:t xml:space="preserve">Frameworks &amp; Tools: </w:t>
      </w:r>
      <w:r>
        <w:rPr>
          <w:rFonts w:ascii="Calibri" w:hAnsi="Calibri"/>
          <w:b w:val="false"/>
          <w:color w:val="000000"/>
          <w:sz w:val="22"/>
        </w:rPr>
        <w:t>MITRE ATT&amp;CK, VirusTotal, Abuse.ch, Wireshark, STIX/TAXII, SQL, JSON, Network DLP, Web Gateway, Email Gateway, Vulnerability Management, SIEM, IPS/IDS</w:t>
      </w:r>
    </w:p>
    <w:p>
      <w:pPr>
        <w:pStyle w:val="Normal"/>
        <w:spacing w:before="40" w:after="40"/>
        <w:rPr/>
      </w:pPr>
      <w:r>
        <w:rPr>
          <w:rFonts w:ascii="Calibri" w:hAnsi="Calibri"/>
          <w:b/>
          <w:color w:val="000000"/>
          <w:sz w:val="22"/>
        </w:rPr>
        <w:t>AI &amp; Automation: AI Agent Orchestration, Multi-Agent Systems, Claude Code, ChatGPT, Grok (1,000+ hrs hands-on), n8n, Ollama — applied in production DevOps/DevSecOps with Kubernetes, Terraform, Ansible, and CI/CD pipeline integration</w:t>
      </w:r>
      <w:r>
        <w:rPr>
          <w:rFonts w:ascii="Calibri" w:hAnsi="Calibri"/>
          <w:b w:val="false"/>
          <w:color w:val="000000"/>
          <w:sz w:val="22"/>
        </w:rPr>
      </w:r>
    </w:p>
    <w:p>
      <w:pPr>
        <w:pStyle w:val="Normal"/>
        <w:pBdr>
          <w:bottom w:val="single" w:sz="6" w:space="1" w:color="000000"/>
        </w:pBdr>
        <w:spacing w:before="200" w:after="40"/>
        <w:rPr/>
      </w:pPr>
      <w:r>
        <w:rPr>
          <w:rFonts w:ascii="Calibri" w:hAnsi="Calibri"/>
          <w:b/>
          <w:color w:val="000000"/>
          <w:sz w:val="22"/>
        </w:rPr>
        <w:t>PROFESSIONAL EXPERIENCE</w:t>
      </w:r>
    </w:p>
    <w:p>
      <w:pPr>
        <w:pStyle w:val="Normal"/>
        <w:spacing w:before="120" w:after="0"/>
        <w:rPr/>
      </w:pPr>
      <w:r>
        <w:rPr>
          <w:rFonts w:ascii="Calibri" w:hAnsi="Calibri"/>
          <w:color w:val="000000"/>
          <w:sz w:val="22"/>
        </w:rPr>
        <w:t xml:space="preserve">Founder &amp; Solutions Architect</w:t>
      </w:r>
    </w:p>
    <w:p>
      <w:pPr>
        <w:pStyle w:val="Normal"/>
        <w:spacing w:before="0" w:after="40"/>
        <w:rPr/>
      </w:pPr>
      <w:r>
        <w:rPr>
          <w:rFonts w:ascii="Calibri" w:hAnsi="Calibri"/>
          <w:color w:val="000000"/>
          <w:sz w:val="22"/>
        </w:rPr>
        <w:t xml:space="preserve">Clearwatch (Security Intelligence Platform)  |  September 2025 – Present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b/>
          <w:rFonts w:ascii="Calibri" w:hAnsi="Calibri"/>
          <w:color w:val="000000"/>
          <w:sz w:val="22"/>
        </w:rPr>
        <w:t xml:space="preserve">Built a 167,000-line security intelligence platform from scratch: </w:t>
      </w:r>
      <w:r>
        <w:rPr>
          <w:rFonts w:ascii="Calibri" w:hAnsi="Calibri"/>
          <w:color w:val="000000"/>
          <w:sz w:val="22"/>
        </w:rPr>
        <w:t xml:space="preserve">orchestrating AI agent swarms to generate automated vendor comparison reports across 6 enterprise security product pairs — CrowdStrike, SentinelOne, Microsoft Defender, Palo Alto Networks.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b/>
          <w:rFonts w:ascii="Calibri" w:hAnsi="Calibri"/>
          <w:color w:val="000000"/>
          <w:sz w:val="22"/>
        </w:rPr>
        <w:t xml:space="preserve">Deployed and managed a 9-node Kubernetes production cluster: </w:t>
      </w:r>
      <w:r>
        <w:rPr>
          <w:rFonts w:ascii="Calibri" w:hAnsi="Calibri"/>
          <w:color w:val="000000"/>
          <w:sz w:val="22"/>
        </w:rPr>
        <w:t xml:space="preserve">with automated TLS via cert-manager, Cloudflare DNS integration, distributed storage, and infrastructure-as-code provisioning using Terraform and Ansible.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b/>
          <w:rFonts w:ascii="Calibri" w:hAnsi="Calibri"/>
          <w:color w:val="000000"/>
          <w:sz w:val="22"/>
        </w:rPr>
        <w:t xml:space="preserve">Orchestrated 227 AI agents across 93 production sessions: </w:t>
      </w:r>
      <w:r>
        <w:rPr>
          <w:rFonts w:ascii="Calibri" w:hAnsi="Calibri"/>
          <w:color w:val="000000"/>
          <w:sz w:val="22"/>
        </w:rPr>
        <w:t xml:space="preserve">achieving 88% goal completion rate with automated guardrails — mandatory post-edit testing, GitHub Issue tracking for all defects, and branch verification before completion.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b/>
          <w:rFonts w:ascii="Calibri" w:hAnsi="Calibri"/>
          <w:color w:val="000000"/>
          <w:sz w:val="22"/>
        </w:rPr>
        <w:t xml:space="preserve">Reduced adversarial code audit cost from hours to minutes: </w:t>
      </w:r>
      <w:r>
        <w:rPr>
          <w:rFonts w:ascii="Calibri" w:hAnsi="Calibri"/>
          <w:color w:val="000000"/>
          <w:sz w:val="22"/>
        </w:rPr>
        <w:t xml:space="preserve">running 9 parallel AI agents that identified 109 confirmed bugs in production code at $1.10 total cost, with 85% confirmed-valid rate and 2.7% cross-agent duplicate rate.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b/>
          <w:rFonts w:ascii="Calibri" w:hAnsi="Calibri"/>
          <w:color w:val="000000"/>
          <w:sz w:val="22"/>
        </w:rPr>
        <w:t xml:space="preserve">Designed multi-agent review pipelines with independent quality gates: </w:t>
      </w:r>
      <w:r>
        <w:rPr>
          <w:rFonts w:ascii="Calibri" w:hAnsi="Calibri"/>
          <w:color w:val="000000"/>
          <w:sz w:val="22"/>
        </w:rPr>
        <w:t xml:space="preserve">deploying specialized AI reviewers for technical accuracy and style compliance, reducing defect pass-through in generated security intelligence reports.</w:t>
      </w:r>
    </w:p>
    <w:p>
      <w:pPr>
        <w:pStyle w:val="Normal"/>
        <w:spacing w:before="120" w:after="0"/>
        <w:rPr/>
      </w:pPr>
      <w:r>
        <w:rPr>
          <w:rFonts w:ascii="Calibri" w:hAnsi="Calibri"/>
          <w:b/>
          <w:color w:val="000000"/>
          <w:sz w:val="22"/>
        </w:rPr>
        <w:t>Senior Sales Engineer</w:t>
      </w:r>
    </w:p>
    <w:p>
      <w:pPr>
        <w:pStyle w:val="Normal"/>
        <w:spacing w:before="0" w:after="40"/>
        <w:rPr/>
      </w:pPr>
      <w:r>
        <w:rPr>
          <w:rFonts w:ascii="Calibri" w:hAnsi="Calibri"/>
          <w:b w:val="false"/>
          <w:color w:val="000000"/>
          <w:sz w:val="22"/>
        </w:rPr>
        <w:t>SentinelOne  |  November 2021 – August 2025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Closed multi-million dollar deals with Fortune 500 prospects: </w:t>
      </w:r>
      <w:r>
        <w:rPr>
          <w:rFonts w:ascii="Calibri" w:hAnsi="Calibri"/>
          <w:b w:val="false"/>
          <w:color w:val="000000"/>
          <w:sz w:val="22"/>
        </w:rPr>
        <w:t>by leading high-stakes POCs that demonstrated advanced threat detection, SIEM correlation, and incident response superiority over competing platforms.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Reduced false positives by 40%+: </w:t>
      </w:r>
      <w:r>
        <w:rPr>
          <w:rFonts w:ascii="Calibri" w:hAnsi="Calibri"/>
          <w:b w:val="false"/>
          <w:color w:val="000000"/>
          <w:sz w:val="22"/>
        </w:rPr>
        <w:t>as SE team AI SIEM specialist, leading the Purple AI beta program and driving customer adoption through automated threat correlation and AI-driven incident triage.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Drove renewal rates above 95%: </w:t>
      </w:r>
      <w:r>
        <w:rPr>
          <w:rFonts w:ascii="Calibri" w:hAnsi="Calibri"/>
          <w:b w:val="false"/>
          <w:color w:val="000000"/>
          <w:sz w:val="22"/>
        </w:rPr>
        <w:t>by delivering critical incident response — outbreak containment, forensic analysis, and threat remediation — that demonstrably improved customer security posture at the enterprise level.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Reduced mean time to detect (MTTD): </w:t>
      </w:r>
      <w:r>
        <w:rPr>
          <w:rFonts w:ascii="Calibri" w:hAnsi="Calibri"/>
          <w:b w:val="false"/>
          <w:color w:val="000000"/>
          <w:sz w:val="22"/>
        </w:rPr>
        <w:t>by conducting deep IOC searches across endpoints, cloud workloads, and containers using AI/ML-assisted query construction, mapping adversary TTPs to MITRE ATT&amp;CK to expose lateral movement patterns before escalation.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Accelerated threat detection for Fortune 500 customers: </w:t>
      </w:r>
      <w:r>
        <w:rPr>
          <w:rFonts w:ascii="Calibri" w:hAnsi="Calibri"/>
          <w:b w:val="false"/>
          <w:color w:val="000000"/>
          <w:sz w:val="22"/>
        </w:rPr>
        <w:t>by architecting a multi-source intelligence pipeline (OSINT, commercial, dark web) into XDR Cloud Data Lake, enabling automated IOC enrichment and cross-platform threat correlation.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Secured cloud-native environments for enterprise customers: </w:t>
      </w:r>
      <w:r>
        <w:rPr>
          <w:rFonts w:ascii="Calibri" w:hAnsi="Calibri"/>
          <w:b w:val="false"/>
          <w:color w:val="000000"/>
          <w:sz w:val="22"/>
        </w:rPr>
        <w:t>by deploying CWPP solutions across Kubernetes, delivering runtime container security, workload threat detection, and CI/CD pipeline integration for continuous security validation.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Expanded revenue footprint: </w:t>
      </w:r>
      <w:r>
        <w:rPr>
          <w:rFonts w:ascii="Calibri" w:hAnsi="Calibri"/>
          <w:b w:val="false"/>
          <w:color w:val="000000"/>
          <w:sz w:val="22"/>
        </w:rPr>
        <w:t>by transitioning enterprise customers from device-only to full device-to-cloud protection, delivering centralized threat visibility and SIEM/SOAR integration across hybrid environments.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Increased XDR deployment adoption: </w:t>
      </w:r>
      <w:r>
        <w:rPr>
          <w:rFonts w:ascii="Calibri" w:hAnsi="Calibri"/>
          <w:b w:val="false"/>
          <w:color w:val="000000"/>
          <w:sz w:val="22"/>
        </w:rPr>
        <w:t>by integrating the agent directly into Terraform/Ansible build pipelines, reducing deployment friction and enabling customers to scale security at the infrastructure level.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Accelerated team win rates: </w:t>
      </w:r>
      <w:r>
        <w:rPr>
          <w:rFonts w:ascii="Calibri" w:hAnsi="Calibri"/>
          <w:b w:val="false"/>
          <w:color w:val="000000"/>
          <w:sz w:val="22"/>
        </w:rPr>
        <w:t>by mentoring junior SEs and account managers on threat intelligence methodologies, AI SIEM workflows, CWPP strategies, and complex POC execution.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Influenced shipped product enhancements: </w:t>
      </w:r>
      <w:r>
        <w:rPr>
          <w:rFonts w:ascii="Calibri" w:hAnsi="Calibri"/>
          <w:b w:val="false"/>
          <w:color w:val="000000"/>
          <w:sz w:val="22"/>
        </w:rPr>
        <w:t>by delivering customer-validated dashboards, detection queries, and threat hunting playbooks directly to Development and Product Management teams.</w:t>
      </w:r>
    </w:p>
    <w:p>
      <w:pPr>
        <w:pStyle w:val="Normal"/>
        <w:spacing w:before="160" w:after="0"/>
        <w:rPr/>
      </w:pPr>
      <w:r>
        <w:rPr>
          <w:rFonts w:ascii="Calibri" w:hAnsi="Calibri"/>
          <w:b/>
          <w:color w:val="000000"/>
          <w:sz w:val="22"/>
        </w:rPr>
        <w:t>SR Enterprise Sales Engineer</w:t>
      </w:r>
    </w:p>
    <w:p>
      <w:pPr>
        <w:pStyle w:val="Normal"/>
        <w:spacing w:before="0" w:after="40"/>
        <w:rPr/>
      </w:pPr>
      <w:r>
        <w:rPr>
          <w:rFonts w:ascii="Calibri" w:hAnsi="Calibri"/>
          <w:b w:val="false"/>
          <w:color w:val="000000"/>
          <w:sz w:val="22"/>
        </w:rPr>
        <w:t>McAfee (now Trellix)  |  April 2005 – November 2021  (16+ Years)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Generated $30–50M in annual regional revenue: </w:t>
      </w:r>
      <w:r>
        <w:rPr>
          <w:rFonts w:ascii="Calibri" w:hAnsi="Calibri"/>
          <w:b w:val="false"/>
          <w:color w:val="000000"/>
          <w:sz w:val="22"/>
        </w:rPr>
        <w:t>managing the largest enterprise accounts in the Southeast United States, supporting customers with 2,000 to 500,000 endpoints each.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Won 3 DOW 30 companies and maintained 6+ accounts with 100,000+ endpoints: </w:t>
      </w:r>
      <w:r>
        <w:rPr>
          <w:rFonts w:ascii="Calibri" w:hAnsi="Calibri"/>
          <w:b w:val="false"/>
          <w:color w:val="000000"/>
          <w:sz w:val="22"/>
        </w:rPr>
        <w:t>by leading competitive POCs and executive-level technical evaluations against top-tier security vendors.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Sustained renewal rates above 95%: </w:t>
      </w:r>
      <w:r>
        <w:rPr>
          <w:rFonts w:ascii="Calibri" w:hAnsi="Calibri"/>
          <w:b w:val="false"/>
          <w:color w:val="000000"/>
          <w:sz w:val="22"/>
        </w:rPr>
        <w:t>by serving as a trusted incident response advisor — delivering outbreak containment, forensic analysis, and remediation that measurably improved customer security posture.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Expanded account value: </w:t>
      </w:r>
      <w:r>
        <w:rPr>
          <w:rFonts w:ascii="Calibri" w:hAnsi="Calibri"/>
          <w:b w:val="false"/>
          <w:color w:val="000000"/>
          <w:sz w:val="22"/>
        </w:rPr>
        <w:t>by driving cloud migration strategy, transitioning enterprise customers from device-only to device-to-cloud protection with centralized threat visibility and SIEM integration.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Unlocked cross-sell revenue: </w:t>
      </w:r>
      <w:r>
        <w:rPr>
          <w:rFonts w:ascii="Calibri" w:hAnsi="Calibri"/>
          <w:b w:val="false"/>
          <w:color w:val="000000"/>
          <w:sz w:val="22"/>
        </w:rPr>
        <w:t>by leveraging PCI-DSS expertise to improve customer compliance posture and identify adjacent security gaps, increasing revenue per account.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Built brand authority as a multi-year speaker at McAfee FOCUS/MPOWER: </w:t>
      </w:r>
      <w:r>
        <w:rPr>
          <w:rFonts w:ascii="Calibri" w:hAnsi="Calibri"/>
          <w:b w:val="false"/>
          <w:color w:val="000000"/>
          <w:sz w:val="22"/>
        </w:rPr>
        <w:t>delivering sessions that drew the highest attendance outside of keynote addresses.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Shaped lasting product improvements: </w:t>
      </w:r>
      <w:r>
        <w:rPr>
          <w:rFonts w:ascii="Calibri" w:hAnsi="Calibri"/>
          <w:b w:val="false"/>
          <w:color w:val="000000"/>
          <w:sz w:val="22"/>
        </w:rPr>
        <w:t>by channeling field intelligence — customer dashboards, detection queries, and threat hunting playbooks — directly into Development and Product Management.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Strengthened customer trust and retention: </w:t>
      </w:r>
      <w:r>
        <w:rPr>
          <w:rFonts w:ascii="Calibri" w:hAnsi="Calibri"/>
          <w:b w:val="false"/>
          <w:color w:val="000000"/>
          <w:sz w:val="22"/>
        </w:rPr>
        <w:t>by authoring white papers, blog entries, and technical documentation addressing complex security challenges beyond standard product coverage.</w:t>
      </w:r>
    </w:p>
    <w:p>
      <w:pPr>
        <w:pStyle w:val="ListBullet"/>
        <w:numPr>
          <w:ilvl w:val="0"/>
          <w:numId w:val="1"/>
        </w:numPr>
        <w:spacing w:before="0" w:after="40"/>
        <w:ind w:hanging="360" w:left="360"/>
        <w:contextualSpacing/>
        <w:rPr/>
      </w:pPr>
      <w:r>
        <w:rPr>
          <w:rFonts w:ascii="Calibri" w:hAnsi="Calibri"/>
          <w:b/>
          <w:color w:val="000000"/>
          <w:sz w:val="22"/>
        </w:rPr>
        <w:t xml:space="preserve">Delivered competitive wins across a broad security portfolio: </w:t>
      </w:r>
      <w:r>
        <w:rPr>
          <w:rFonts w:ascii="Calibri" w:hAnsi="Calibri"/>
          <w:b w:val="false"/>
          <w:color w:val="000000"/>
          <w:sz w:val="22"/>
        </w:rPr>
        <w:t>— Network DLP, Web Gateway, Email Gateway, IPS, Sandbox, and Vulnerability Management — through technically rigorous POCs and evaluations.</w:t>
      </w:r>
    </w:p>
    <w:p>
      <w:pPr>
        <w:pStyle w:val="Normal"/>
        <w:pBdr>
          <w:bottom w:val="single" w:sz="6" w:space="1" w:color="000000"/>
        </w:pBdr>
        <w:spacing w:before="200" w:after="40"/>
        <w:rPr/>
      </w:pPr>
      <w:r>
        <w:rPr>
          <w:rFonts w:ascii="Calibri" w:hAnsi="Calibri"/>
          <w:b/>
          <w:color w:val="000000"/>
          <w:sz w:val="22"/>
        </w:rPr>
        <w:t>EDUCATION</w:t>
      </w:r>
    </w:p>
    <w:p>
      <w:pPr>
        <w:pStyle w:val="Normal"/>
        <w:spacing w:before="0" w:after="0"/>
        <w:rPr/>
      </w:pPr>
      <w:r>
        <w:rPr>
          <w:rFonts w:ascii="Calibri" w:hAnsi="Calibri"/>
          <w:b/>
          <w:color w:val="000000"/>
          <w:sz w:val="22"/>
        </w:rPr>
        <w:t>Bachelor of Business Administration, Computer Information Systems</w:t>
      </w:r>
    </w:p>
    <w:p>
      <w:pPr>
        <w:pStyle w:val="Normal"/>
        <w:spacing w:before="0" w:after="80"/>
        <w:rPr/>
      </w:pPr>
      <w:r>
        <w:rPr>
          <w:rFonts w:ascii="Calibri" w:hAnsi="Calibri"/>
          <w:b w:val="false"/>
          <w:color w:val="000000"/>
          <w:sz w:val="22"/>
        </w:rPr>
        <w:t>Georgia State University, Atlanta, GA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3</Pages>
  <Words>849</Words>
  <Characters>5850</Characters>
  <CharactersWithSpaces>6649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2026-03-14T09:03:57Z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