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0000"/>
          <w:sz w:val="32"/>
        </w:rPr>
        <w:t>PETER SIMMONS</w:t>
      </w:r>
    </w:p>
    <w:p>
      <w:pPr>
        <w:spacing w:after="40"/>
        <w:jc w:val="center"/>
      </w:pPr>
      <w:r>
        <w:rPr>
          <w:rFonts w:ascii="Calibri" w:hAnsi="Calibri"/>
          <w:b w:val="0"/>
          <w:color w:val="000000"/>
          <w:sz w:val="24"/>
        </w:rPr>
        <w:t>Senior Sales Engineer | Cyber Threat Intelligence</w:t>
      </w:r>
    </w:p>
    <w:p>
      <w:pPr>
        <w:spacing w:after="160"/>
        <w:jc w:val="center"/>
      </w:pPr>
      <w:r>
        <w:rPr>
          <w:rFonts w:ascii="Calibri" w:hAnsi="Calibri"/>
          <w:b w:val="0"/>
          <w:color w:val="000000"/>
          <w:sz w:val="22"/>
        </w:rPr>
        <w:t>Holly Springs, GA 30115  |  404-786-1683  |  peter.simmons.ga@gmail.com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pPr>
        <w:spacing w:after="80"/>
      </w:pPr>
      <w:r>
        <w:rPr>
          <w:rFonts w:ascii="Calibri" w:hAnsi="Calibri"/>
          <w:b w:val="0"/>
          <w:color w:val="000000"/>
          <w:sz w:val="22"/>
        </w:rPr>
        <w:t>Senior Sales Engineer with 25+ years of pre-sales experience in enterprise cybersecurity, specializing in Cyber Threat Intelligence, EDR/XDR, AI SIEM, and Cloud Security (CNAPP/CSPM/CWPP). Proven track record managing $30–50M in annual regional revenue, converting 3 DOW 30 companies, and supporting 6+ accounts with 100,000+ endpoints. Deep expertise in threat hunting, IOC investigation, MITRE ATT&amp;CK-aligned detection, and cloud-native security across AWS, Azure, and GCP. Experienced presenting to CISOs and executive stakeholders.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CORE COMPETENCIES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Threat Intelligence Operations: </w:t>
      </w:r>
      <w:r>
        <w:rPr>
          <w:rFonts w:ascii="Calibri" w:hAnsi="Calibri"/>
          <w:b w:val="0"/>
          <w:color w:val="000000"/>
          <w:sz w:val="22"/>
        </w:rPr>
        <w:t>IOC investigation, threat correlation, adversary TTPs analysis, feed integration across EDR/XDR/SIEM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Threat Hunting &amp; Investigation: </w:t>
      </w:r>
      <w:r>
        <w:rPr>
          <w:rFonts w:ascii="Calibri" w:hAnsi="Calibri"/>
          <w:b w:val="0"/>
          <w:color w:val="000000"/>
          <w:sz w:val="22"/>
        </w:rPr>
        <w:t>Deep IOC searches, AI/ML-assisted query construction, cross-platform log correlation, XDR Cloud Data Lake forensics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Cloud Security (CWPP/CNAPP/CSPM): </w:t>
      </w:r>
      <w:r>
        <w:rPr>
          <w:rFonts w:ascii="Calibri" w:hAnsi="Calibri"/>
          <w:b w:val="0"/>
          <w:color w:val="000000"/>
          <w:sz w:val="22"/>
        </w:rPr>
        <w:t>Kubernetes and Docker runtime security, container threat detection, attack surface discovery across AWS/Azure/GCP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Zero Trust &amp; Security Architecture: </w:t>
      </w:r>
      <w:r>
        <w:rPr>
          <w:rFonts w:ascii="Calibri" w:hAnsi="Calibri"/>
          <w:b w:val="0"/>
          <w:color w:val="000000"/>
          <w:sz w:val="22"/>
        </w:rPr>
        <w:t>Threat detection workflow design, SIEM/SOAR integration, OSINT, commercial, and dark web feed orchestration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Enterprise Pre-Sales Excellence: </w:t>
      </w:r>
      <w:r>
        <w:rPr>
          <w:rFonts w:ascii="Calibri" w:hAnsi="Calibri"/>
          <w:b w:val="0"/>
          <w:color w:val="000000"/>
          <w:sz w:val="22"/>
        </w:rPr>
        <w:t>Proof-of-Concept delivery, technical evaluations, executive presentations, and Fortune 500 customer enablement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Consultative Sales: </w:t>
      </w:r>
      <w:r>
        <w:rPr>
          <w:rFonts w:ascii="Calibri" w:hAnsi="Calibri"/>
          <w:b w:val="0"/>
          <w:color w:val="000000"/>
          <w:sz w:val="22"/>
        </w:rPr>
        <w:t>Solutions positioning, roadmaps, requirements gathering, cross-sell expansion, and renewal management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TECHNICAL SKILLS</w:t>
      </w:r>
    </w:p>
    <w:p>
      <w:pPr>
        <w:spacing w:before="40" w:after="40"/>
      </w:pPr>
      <w:r>
        <w:rPr>
          <w:rFonts w:ascii="Calibri" w:hAnsi="Calibri"/>
          <w:b/>
          <w:color w:val="000000"/>
          <w:sz w:val="22"/>
        </w:rPr>
        <w:t xml:space="preserve">Threat Intelligence &amp; Detection: </w:t>
      </w:r>
      <w:r>
        <w:rPr>
          <w:rFonts w:ascii="Calibri" w:hAnsi="Calibri"/>
          <w:b w:val="0"/>
          <w:color w:val="000000"/>
          <w:sz w:val="22"/>
        </w:rPr>
        <w:t>IOC Investigation, Threat Hunting, OSINT, TTPs Analysis, Adversary Tracking, Dark Web Intelligence, Attack Surface Monitoring, Threat Intelligence Platform (TIP), STIX/TAXII, Kill Chain Analysis</w:t>
      </w:r>
    </w:p>
    <w:p>
      <w:pPr>
        <w:spacing w:before="40" w:after="40"/>
      </w:pPr>
      <w:r>
        <w:rPr>
          <w:rFonts w:ascii="Calibri" w:hAnsi="Calibri"/>
          <w:b/>
          <w:color w:val="000000"/>
          <w:sz w:val="22"/>
        </w:rPr>
        <w:t xml:space="preserve">EDR/XDR/SIEM/SOAR Platforms: </w:t>
      </w:r>
      <w:r>
        <w:rPr>
          <w:rFonts w:ascii="Calibri" w:hAnsi="Calibri"/>
          <w:b w:val="0"/>
          <w:color w:val="000000"/>
          <w:sz w:val="22"/>
        </w:rPr>
        <w:t>SentinelOne, XDR Cloud Data Lake, AI SIEM (Purple AI), Next-Gen AV, Deep IOC Searches, Log Correlation, Threat Feed Integration, AI/ML Query Construction</w:t>
      </w:r>
    </w:p>
    <w:p>
      <w:pPr>
        <w:spacing w:before="40" w:after="40"/>
      </w:pPr>
      <w:r>
        <w:rPr>
          <w:rFonts w:ascii="Calibri" w:hAnsi="Calibri"/>
          <w:b/>
          <w:color w:val="000000"/>
          <w:sz w:val="22"/>
        </w:rPr>
        <w:t xml:space="preserve">Cloud Security: </w:t>
      </w:r>
      <w:r>
        <w:rPr>
          <w:rFonts w:ascii="Calibri" w:hAnsi="Calibri"/>
          <w:b w:val="0"/>
          <w:color w:val="000000"/>
          <w:sz w:val="22"/>
        </w:rPr>
        <w:t>CNAPP, CSPM, CWPP, AWS, Azure, GCP, Zero Trust Architecture, CI/CD Security, Container Security, Kubernetes, Docker, Terraform, Ansible</w:t>
      </w:r>
    </w:p>
    <w:p>
      <w:pPr>
        <w:spacing w:before="40" w:after="40"/>
      </w:pPr>
      <w:r>
        <w:rPr>
          <w:rFonts w:ascii="Calibri" w:hAnsi="Calibri"/>
          <w:b/>
          <w:color w:val="000000"/>
          <w:sz w:val="22"/>
        </w:rPr>
        <w:t xml:space="preserve">Frameworks &amp; Tools: </w:t>
      </w:r>
      <w:r>
        <w:rPr>
          <w:rFonts w:ascii="Calibri" w:hAnsi="Calibri"/>
          <w:b w:val="0"/>
          <w:color w:val="000000"/>
          <w:sz w:val="22"/>
        </w:rPr>
        <w:t>MITRE ATT&amp;CK, VirusTotal, Abuse.ch, Wireshark, STIX/TAXII, SQL, JSON, Network DLP, Web Gateway, Email Gateway, Vulnerability Management, SIEM, IPS/IDS</w:t>
      </w:r>
    </w:p>
    <w:p>
      <w:pPr>
        <w:spacing w:before="40" w:after="40"/>
      </w:pPr>
      <w:r>
        <w:rPr>
          <w:rFonts w:ascii="Calibri" w:hAnsi="Calibri"/>
          <w:b/>
          <w:color w:val="000000"/>
          <w:sz w:val="22"/>
        </w:rPr>
        <w:t xml:space="preserve">AI &amp; Automation: </w:t>
      </w:r>
      <w:r>
        <w:rPr>
          <w:rFonts w:ascii="Calibri" w:hAnsi="Calibri"/>
          <w:b w:val="0"/>
          <w:color w:val="000000"/>
          <w:sz w:val="22"/>
        </w:rPr>
        <w:t>Claude Code, ChatGPT, Grok (1,000+ hrs hands-on), n8n, Ollama, Open-WebUI — applied in DevOps/DevSecOps role with Kubernetes, Terraform, and Ansible</w:t>
      </w:r>
    </w:p>
    <w:p>
      <w:pPr>
        <w:spacing w:before="40" w:after="40"/>
      </w:pPr>
      <w:r>
        <w:rPr>
          <w:rFonts w:ascii="Calibri" w:hAnsi="Calibri"/>
          <w:b/>
          <w:color w:val="000000"/>
          <w:sz w:val="22"/>
        </w:rPr>
        <w:t xml:space="preserve">Operating Systems &amp; Infrastructure: </w:t>
      </w:r>
      <w:r>
        <w:rPr>
          <w:rFonts w:ascii="Calibri" w:hAnsi="Calibri"/>
          <w:b w:val="0"/>
          <w:color w:val="000000"/>
          <w:sz w:val="22"/>
        </w:rPr>
        <w:t>Linux (preferred), Windows, Virtualization, Database administration, Performance tuning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120" w:after="0"/>
      </w:pPr>
      <w:r>
        <w:rPr>
          <w:rFonts w:ascii="Calibri" w:hAnsi="Calibri"/>
          <w:b/>
          <w:color w:val="000000"/>
          <w:sz w:val="22"/>
        </w:rPr>
        <w:t>Senior Sales Engineer</w:t>
      </w:r>
    </w:p>
    <w:p>
      <w:pPr>
        <w:spacing w:after="0"/>
      </w:pPr>
      <w:r>
        <w:rPr>
          <w:rFonts w:ascii="Calibri" w:hAnsi="Calibri"/>
          <w:b w:val="0"/>
          <w:color w:val="000000"/>
          <w:sz w:val="22"/>
        </w:rPr>
        <w:t>SentinelOne  |  November 2021 – August 2025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Architected threat intelligence integration workflows: </w:t>
      </w:r>
      <w:r>
        <w:rPr>
          <w:rFonts w:ascii="Calibri" w:hAnsi="Calibri"/>
          <w:b w:val="0"/>
          <w:color w:val="000000"/>
          <w:sz w:val="22"/>
        </w:rPr>
        <w:t>connecting 3rd-party feeds (OSINT, commercial, dark web) into XDR Cloud Data Lake, enabling cross-platform IOC enrichment and automated threat correlation for Fortune 500 customers.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Executed advanced threat hunting operations: </w:t>
      </w:r>
      <w:r>
        <w:rPr>
          <w:rFonts w:ascii="Calibri" w:hAnsi="Calibri"/>
          <w:b w:val="0"/>
          <w:color w:val="000000"/>
          <w:sz w:val="22"/>
        </w:rPr>
        <w:t>conducting deep IOC searches across endpoints, cloud workloads, and containers using AI/ML-assisted query construction; reduced MTTD by mapping adversary TTPs to MITRE ATT&amp;CK framework and identifying lateral movement patterns.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Deployed CWPP solutions across Kubernetes environments: </w:t>
      </w:r>
      <w:r>
        <w:rPr>
          <w:rFonts w:ascii="Calibri" w:hAnsi="Calibri"/>
          <w:b w:val="0"/>
          <w:color w:val="000000"/>
          <w:sz w:val="22"/>
        </w:rPr>
        <w:t>providing runtime container security, workload threat detection, and CI/CD pipeline integration for continuous security validation in cloud-native deployments.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Served as AI SIEM specialist for SE team: </w:t>
      </w:r>
      <w:r>
        <w:rPr>
          <w:rFonts w:ascii="Calibri" w:hAnsi="Calibri"/>
          <w:b w:val="0"/>
          <w:color w:val="000000"/>
          <w:sz w:val="22"/>
        </w:rPr>
        <w:t>leading Purple AI beta program and customer enablement; reduced false positives by 40%+ through automated threat correlation and accelerated incident triage via AI-driven indicator extraction.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Drove cloud migration strategy: </w:t>
      </w:r>
      <w:r>
        <w:rPr>
          <w:rFonts w:ascii="Calibri" w:hAnsi="Calibri"/>
          <w:b w:val="0"/>
          <w:color w:val="000000"/>
          <w:sz w:val="22"/>
        </w:rPr>
        <w:t>transitioning enterprise customers from device-only to device-to-cloud protection with centralized threat visibility, log correlation, and SIEM/SOAR integration across hybrid environments.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Led high-stakes technical evaluations: </w:t>
      </w:r>
      <w:r>
        <w:rPr>
          <w:rFonts w:ascii="Calibri" w:hAnsi="Calibri"/>
          <w:b w:val="0"/>
          <w:color w:val="000000"/>
          <w:sz w:val="22"/>
        </w:rPr>
        <w:t>for DOW 30 and Fortune 500 prospects, demonstrating advanced threat detection, SIEM correlation, and incident response capabilities resulting in multi-million dollar conversions.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Mentored junior sales engineers and account managers: </w:t>
      </w:r>
      <w:r>
        <w:rPr>
          <w:rFonts w:ascii="Calibri" w:hAnsi="Calibri"/>
          <w:b w:val="0"/>
          <w:color w:val="000000"/>
          <w:sz w:val="22"/>
        </w:rPr>
        <w:t>on threat intelligence methodologies, AI SIEM workflows, CWPP deployment strategies, and complex POC execution, accelerating team productivity and technical win rates.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Improved deployment adoption rates: </w:t>
      </w:r>
      <w:r>
        <w:rPr>
          <w:rFonts w:ascii="Calibri" w:hAnsi="Calibri"/>
          <w:b w:val="0"/>
          <w:color w:val="000000"/>
          <w:sz w:val="22"/>
        </w:rPr>
        <w:t>by integrating XDR agent into Terraform/Ansible build processes; enhanced default Ansible deployment scripts for greater flexibility and scale.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Delivered critical incident response: </w:t>
      </w:r>
      <w:r>
        <w:rPr>
          <w:rFonts w:ascii="Calibri" w:hAnsi="Calibri"/>
          <w:b w:val="0"/>
          <w:color w:val="000000"/>
          <w:sz w:val="22"/>
        </w:rPr>
        <w:t>providing outbreak containment, forensic analysis, and threat remediation during security incidents, improving customer security posture and driving renewal rates above 95%.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Drove product innovation: </w:t>
      </w:r>
      <w:r>
        <w:rPr>
          <w:rFonts w:ascii="Calibri" w:hAnsi="Calibri"/>
          <w:b w:val="0"/>
          <w:color w:val="000000"/>
          <w:sz w:val="22"/>
        </w:rPr>
        <w:t>delivering dashboards, detection queries, and threat hunting playbooks to Development and Product Management, resulting in shipped product enhancements.</w:t>
      </w:r>
    </w:p>
    <w:p>
      <w:pPr>
        <w:spacing w:before="160" w:after="0"/>
      </w:pPr>
      <w:r>
        <w:rPr>
          <w:rFonts w:ascii="Calibri" w:hAnsi="Calibri"/>
          <w:b/>
          <w:color w:val="000000"/>
          <w:sz w:val="22"/>
        </w:rPr>
        <w:t>SR Enterprise Sales Engineer</w:t>
      </w:r>
    </w:p>
    <w:p>
      <w:pPr>
        <w:spacing w:after="0"/>
      </w:pPr>
      <w:r>
        <w:rPr>
          <w:rFonts w:ascii="Calibri" w:hAnsi="Calibri"/>
          <w:b w:val="0"/>
          <w:color w:val="000000"/>
          <w:sz w:val="22"/>
        </w:rPr>
        <w:t>McAfee (now Trellix)  |  April 2005 – November 2021  (16+ Years)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Managed $30–50M in annual regional revenue: </w:t>
      </w:r>
      <w:r>
        <w:rPr>
          <w:rFonts w:ascii="Calibri" w:hAnsi="Calibri"/>
          <w:b w:val="0"/>
          <w:color w:val="000000"/>
          <w:sz w:val="22"/>
        </w:rPr>
        <w:t>across the largest enterprise accounts in the Southeast United States, with customers ranging from 2,000 to 500,000 endpoints each.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Converted 3 DOW 30 companies: </w:t>
      </w:r>
      <w:r>
        <w:rPr>
          <w:rFonts w:ascii="Calibri" w:hAnsi="Calibri"/>
          <w:b w:val="0"/>
          <w:color w:val="000000"/>
          <w:sz w:val="22"/>
        </w:rPr>
        <w:t>and managed 6+ accounts with 100,000+ endpoints through high-stakes technical evaluations, POCs, and executive engagement.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Assisted cloud migration strategy: </w:t>
      </w:r>
      <w:r>
        <w:rPr>
          <w:rFonts w:ascii="Calibri" w:hAnsi="Calibri"/>
          <w:b w:val="0"/>
          <w:color w:val="000000"/>
          <w:sz w:val="22"/>
        </w:rPr>
        <w:t>transitioning enterprise customers from device-only to device-to-cloud protection with centralized threat visibility and SIEM integration across hybrid environments.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Delivered critical incident response: </w:t>
      </w:r>
      <w:r>
        <w:rPr>
          <w:rFonts w:ascii="Calibri" w:hAnsi="Calibri"/>
          <w:b w:val="0"/>
          <w:color w:val="000000"/>
          <w:sz w:val="22"/>
        </w:rPr>
        <w:t>providing outbreak containment, forensic analysis, and threat remediation during security incidents, improving customer security posture and driving renewal rates above 95%.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Drove product innovation: </w:t>
      </w:r>
      <w:r>
        <w:rPr>
          <w:rFonts w:ascii="Calibri" w:hAnsi="Calibri"/>
          <w:b w:val="0"/>
          <w:color w:val="000000"/>
          <w:sz w:val="22"/>
        </w:rPr>
        <w:t>delivering dashboards, detection queries, and threat hunting playbooks to Development and Product Management, resulting in lasting product enhancements.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Authored white papers, blog entries, and technical documentation: </w:t>
      </w:r>
      <w:r>
        <w:rPr>
          <w:rFonts w:ascii="Calibri" w:hAnsi="Calibri"/>
          <w:b w:val="0"/>
          <w:color w:val="000000"/>
          <w:sz w:val="22"/>
        </w:rPr>
        <w:t>assisting customers with complex topics not addressed in standard product documentation.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Presented at McAfee FOCUS/MPOWER customer events: </w:t>
      </w:r>
      <w:r>
        <w:rPr>
          <w:rFonts w:ascii="Calibri" w:hAnsi="Calibri"/>
          <w:b w:val="0"/>
          <w:color w:val="000000"/>
          <w:sz w:val="22"/>
        </w:rPr>
        <w:t>for multiple years; sessions achieved highest attendance outside of the keynote address.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Leveraged PCI-DSS expertise: </w:t>
      </w:r>
      <w:r>
        <w:rPr>
          <w:rFonts w:ascii="Calibri" w:hAnsi="Calibri"/>
          <w:b w:val="0"/>
          <w:color w:val="000000"/>
          <w:sz w:val="22"/>
        </w:rPr>
        <w:t>to improve customer security posture, compliance readiness, and cross-sell opportunities.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color w:val="000000"/>
          <w:sz w:val="22"/>
        </w:rPr>
        <w:t xml:space="preserve">Led POCs, evaluations, and trials: </w:t>
      </w:r>
      <w:r>
        <w:rPr>
          <w:rFonts w:ascii="Calibri" w:hAnsi="Calibri"/>
          <w:b w:val="0"/>
          <w:color w:val="000000"/>
          <w:sz w:val="22"/>
        </w:rPr>
        <w:t>for a large portfolio of security products including Network DLP, Web Gateway, Email Gateway, IPS, Sandbox, and Vulnerability Management solutions.</w:t>
      </w:r>
    </w:p>
    <w:p>
      <w:pPr>
        <w:spacing w:before="20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after="0"/>
      </w:pPr>
      <w:r>
        <w:rPr>
          <w:rFonts w:ascii="Calibri" w:hAnsi="Calibri"/>
          <w:b/>
          <w:color w:val="000000"/>
          <w:sz w:val="22"/>
        </w:rPr>
        <w:t>Bachelor of Business Administration, Computer Information Systems</w:t>
      </w:r>
    </w:p>
    <w:p>
      <w:pPr>
        <w:spacing w:after="80"/>
      </w:pPr>
      <w:r>
        <w:rPr>
          <w:rFonts w:ascii="Calibri" w:hAnsi="Calibri"/>
          <w:b w:val="0"/>
          <w:color w:val="000000"/>
          <w:sz w:val="22"/>
        </w:rPr>
        <w:t>Georgia State University, Atlanta, GA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