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erimental-determination-of-friction-factor"/>
      <w:bookmarkEnd w:id="21"/>
      <w:r>
        <w:t xml:space="preserve">Experimental determination of friction factor</w:t>
      </w:r>
    </w:p>
    <w:p>
      <w:pPr>
        <w:pStyle w:val="FirstParagraph"/>
      </w:pPr>
      <w:r>
        <w:t xml:space="preserve">Author name</w:t>
      </w:r>
      <w:r>
        <w:br w:type="textWrapping"/>
      </w:r>
      <w:r>
        <w:t xml:space="preserve">Rose-Hulman Institute of Technology</w:t>
      </w:r>
      <w:r>
        <w:br w:type="textWrapping"/>
      </w:r>
      <w:r>
        <w:t xml:space="preserve">Date</w:t>
      </w:r>
    </w:p>
    <w:p>
      <w:pPr>
        <w:pStyle w:val="Heading2"/>
      </w:pPr>
      <w:bookmarkStart w:id="22" w:name="introduction"/>
      <w:bookmarkEnd w:id="22"/>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3" w:name="apparatus"/>
      <w:bookmarkEnd w:id="23"/>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t xml:space="preserve">(insert image here)</w:t>
      </w:r>
      <w:r>
        <w:t xml:space="preserve"> </w:t>
      </w: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 (Gerhard, 2013),</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t xml:space="preserve">(insert image here)</w:t>
      </w:r>
      <w:r>
        <w:t xml:space="preserve"> </w:t>
      </w: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Heading2"/>
      </w:pPr>
      <w:bookmarkStart w:id="25" w:name="procedure"/>
      <w:bookmarkEnd w:id="25"/>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 (citation needed)</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t xml:space="preserve">(insert image here)</w:t>
      </w:r>
      <w:r>
        <w:t xml:space="preserve"> </w:t>
      </w:r>
      <w:r>
        <w:t xml:space="preserve">Figure 3. Elements of the apparatus important for the procedure.</w:t>
      </w:r>
    </w:p>
    <w:p>
      <w:pPr>
        <w:pStyle w:val="Heading2"/>
      </w:pPr>
      <w:bookmarkStart w:id="26" w:name="data"/>
      <w:bookmarkEnd w:id="26"/>
      <w:r>
        <w:t xml:space="preserve">Data</w:t>
      </w:r>
    </w:p>
    <w:p>
      <w:pPr>
        <w:pStyle w:val="FirstParagraph"/>
      </w:pPr>
      <w:r>
        <w:t xml:space="preserve">The thirty observations are shown in Table 2. The data have been organized by flow rate. The test sequence in random order is given in an appendix.</w:t>
      </w:r>
    </w:p>
    <w:p>
      <w:pPr>
        <w:pStyle w:val="BodyText"/>
      </w:pPr>
      <w:r>
        <w:t xml:space="preserve">Table 1. Complete experimental data</w:t>
      </w:r>
      <w:r>
        <w:t xml:space="preserve"> </w:t>
      </w:r>
      <w:r>
        <w:t xml:space="preserve">(insert table here)</w:t>
      </w:r>
    </w:p>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r>
        <w:t xml:space="preserve"> </w:t>
      </w:r>
      <w:r>
        <w:t xml:space="preserve">(insert table here)</w:t>
      </w:r>
    </w:p>
    <w:p>
      <w:pPr>
        <w:pStyle w:val="BodyText"/>
      </w:pPr>
      <w:r>
        <w:t xml:space="preserve">The range for the surface roughness is 0.0015 to 0.007 mm, therefore we did not have an exact roughness value for our specific experimental PVC pipe.</w:t>
      </w:r>
    </w:p>
    <w:p>
      <w:pPr>
        <w:pStyle w:val="Heading2"/>
      </w:pPr>
      <w:bookmarkStart w:id="27" w:name="analysis"/>
      <w:bookmarkEnd w:id="27"/>
      <w:r>
        <w:t xml:space="preserve">Analysis</w:t>
      </w:r>
    </w:p>
    <w:p>
      <w:pPr>
        <w:pStyle w:val="FirstParagraph"/>
      </w:pPr>
      <w:r>
        <w:t xml:space="preserve">For a given flow rate, a Thompson tau test (citation needed) 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28" w:name="results"/>
      <w:bookmarkEnd w:id="28"/>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r>
        <w:t xml:space="preserve"> </w:t>
      </w:r>
      <w:r>
        <w:t xml:space="preserve">(insert table here)</w:t>
      </w: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r>
        <w:t xml:space="preserve"> </w:t>
      </w:r>
      <w:r>
        <w:t xml:space="preserve">(insert table here)</w:t>
      </w:r>
    </w:p>
    <w:p>
      <w:pPr>
        <w:pStyle w:val="BodyText"/>
      </w:pPr>
      <w:r>
        <w:t xml:space="preserve">(insert figure here)</w:t>
      </w:r>
      <w:r>
        <w:t xml:space="preserve"> </w:t>
      </w: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 (Davis)</w:t>
      </w:r>
    </w:p>
    <w:p>
      <w:pPr>
        <w:pStyle w:val="BodyText"/>
      </w:pPr>
      <w:r>
        <w:t xml:space="preserve">Relative uncertainties are shown in Table 5. For fluid system results of this type, relative uncertainties fo 25% are common. (citation needed)</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r>
        <w:t xml:space="preserve"> </w:t>
      </w:r>
      <w:r>
        <w:t xml:space="preserve">(insert table here)</w:t>
      </w:r>
    </w:p>
    <w:p>
      <w:pPr>
        <w:pStyle w:val="Heading2"/>
      </w:pPr>
      <w:bookmarkStart w:id="29" w:name="conclusion"/>
      <w:bookmarkEnd w:id="29"/>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1"/>
      </w:pPr>
      <w:bookmarkStart w:id="30" w:name="references"/>
      <w:bookmarkEnd w:id="3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48f2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2018-09-12T01:48:23Z</dcterms:created>
  <dcterms:modified xsi:type="dcterms:W3CDTF">2018-09-12T01:48:23Z</dcterms:modified>
</cp:coreProperties>
</file>