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jpg" ContentType="image/jpeg"/>
  <Override PartName="/word/media/rId27.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20</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BodyText"/>
      </w:pPr>
      <w:r>
        <w:drawing>
          <wp:inline>
            <wp:extent cx="5621153" cy="4013734"/>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3"/>
                    <a:stretch>
                      <a:fillRect/>
                    </a:stretch>
                  </pic:blipFill>
                  <pic:spPr bwMode="auto">
                    <a:xfrm>
                      <a:off x="0" y="0"/>
                      <a:ext cx="5621153" cy="4013734"/>
                    </a:xfrm>
                    <a:prstGeom prst="rect">
                      <a:avLst/>
                    </a:prstGeom>
                    <a:noFill/>
                    <a:ln w="9525">
                      <a:noFill/>
                      <a:headEnd/>
                      <a:tailEnd/>
                    </a:ln>
                  </pic:spPr>
                </pic:pic>
              </a:graphicData>
            </a:graphic>
          </wp:inline>
        </w:drawing>
      </w:r>
    </w:p>
    <w:p>
      <w:pPr>
        <w:pStyle w:val="BodyText"/>
      </w:pPr>
      <w:r>
        <w:t xml:space="preserve">Figure 1. Configuration of the flow bench</w:t>
      </w:r>
    </w:p>
    <w:p>
      <w:pPr>
        <w:pStyle w:val="BodyText"/>
      </w:pPr>
      <w:r>
        <w:t xml:space="preserve">Attached to the pipe are three manometers distanced at 20 cm apart for measuring fluid pressure at that point. Only two of the manometers are used.</w:t>
      </w:r>
    </w:p>
    <w:p>
      <w:pPr>
        <w:pStyle w:val="Heading2"/>
      </w:pPr>
      <w:bookmarkStart w:id="24" w:name="modeling"/>
      <w:bookmarkEnd w:id="24"/>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[1]</w:t>
      </w:r>
      <w:r>
        <w:t xml:space="preserve">,</w:t>
      </w:r>
    </w:p>
    <w:p>
      <w:pPr>
        <w:pStyle w:val="SourceCode"/>
      </w:pPr>
      <w:r>
        <w:rPr>
          <w:rStyle w:val="VerbatimChar"/>
        </w:rPr>
        <w:t xml:space="preserve">## [1] "eqn  1: "</w:t>
      </w:r>
    </w:p>
    <w:p>
      <w:pPr>
        <w:pStyle w:val="FirstParagraph"/>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rPr>
          <w:b/>
        </w:rPr>
        <w:t xml:space="preserve">(1)</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BodyText"/>
      </w:pPr>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5"/>
                    <a:stretch>
                      <a:fillRect/>
                    </a:stretch>
                  </pic:blipFill>
                  <pic:spPr bwMode="auto">
                    <a:xfrm>
                      <a:off x="0" y="0"/>
                      <a:ext cx="3574472" cy="1546167"/>
                    </a:xfrm>
                    <a:prstGeom prst="rect">
                      <a:avLst/>
                    </a:prstGeom>
                    <a:noFill/>
                    <a:ln w="9525">
                      <a:noFill/>
                      <a:headEnd/>
                      <a:tailEnd/>
                    </a:ln>
                  </pic:spPr>
                </pic:pic>
              </a:graphicData>
            </a:graphic>
          </wp:inline>
        </w:drawing>
      </w:r>
    </w:p>
    <w:p>
      <w:pPr>
        <w:pStyle w:val="BodyText"/>
      </w:pPr>
      <w:r>
        <w:t xml:space="preserve">Figure 2. Illustrating the variables that appear in the data reduction equation.</w:t>
      </w:r>
    </w:p>
    <w:p>
      <w:pPr>
        <w:pStyle w:val="BodyText"/>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ν</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ν</m:t>
              </m:r>
              <m:r>
                <m:t>D</m:t>
              </m:r>
            </m:den>
          </m:f>
          <m:r>
            <m:t>.</m:t>
          </m:r>
        </m:oMath>
      </m:oMathPara>
    </w:p>
    <w:p>
      <w:pPr>
        <w:pStyle w:val="FirstParagraph"/>
      </w:pPr>
      <w:r>
        <w:t xml:space="preserve">(8)</w:t>
      </w:r>
    </w:p>
    <w:p>
      <w:pPr>
        <w:pStyle w:val="Heading2"/>
      </w:pPr>
      <w:bookmarkStart w:id="26" w:name="procedure"/>
      <w:bookmarkEnd w:id="26"/>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[2]</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BodyText"/>
      </w:pPr>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27"/>
                    <a:stretch>
                      <a:fillRect/>
                    </a:stretch>
                  </pic:blipFill>
                  <pic:spPr bwMode="auto">
                    <a:xfrm>
                      <a:off x="0" y="0"/>
                      <a:ext cx="4006734" cy="2589414"/>
                    </a:xfrm>
                    <a:prstGeom prst="rect">
                      <a:avLst/>
                    </a:prstGeom>
                    <a:noFill/>
                    <a:ln w="9525">
                      <a:noFill/>
                      <a:headEnd/>
                      <a:tailEnd/>
                    </a:ln>
                  </pic:spPr>
                </pic:pic>
              </a:graphicData>
            </a:graphic>
          </wp:inline>
        </w:drawing>
      </w:r>
    </w:p>
    <w:p>
      <w:pPr>
        <w:pStyle w:val="BodyText"/>
      </w:pPr>
      <w:r>
        <w:t xml:space="preserve">Figure 3. Elements of the apparatus important for the procedure.</w:t>
      </w:r>
    </w:p>
    <w:p>
      <w:pPr>
        <w:pStyle w:val="Heading2"/>
      </w:pPr>
      <w:bookmarkStart w:id="28" w:name="data"/>
      <w:bookmarkEnd w:id="28"/>
      <w:r>
        <w:t xml:space="preserve">Data</w:t>
      </w:r>
    </w:p>
    <w:p>
      <w:pPr>
        <w:pStyle w:val="FirstParagraph"/>
      </w:pPr>
      <w:r>
        <w:t xml:space="preserve">The thirty observations are shown in Table 2.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BodyText"/>
      </w:pPr>
      <w:r>
        <w:t xml:space="preserve">Table 1. Complete experimental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BodyText"/>
      </w:pPr>
    </w:p>
    <w:p>
      <w:pPr>
        <w:pStyle w:val="BodyText"/>
      </w:pPr>
      <w:r>
        <w:t xml:space="preserve">Table 2 lists the physical constants and one-time measurands. Values that may be uncertain are the pipe roughness and dynamic viscosity.</w:t>
      </w:r>
    </w:p>
    <w:p>
      <w:pPr>
        <w:pStyle w:val="BodyText"/>
      </w:pPr>
      <w:r>
        <w:t xml:space="preserve">Table 2. Constants and one-time measurands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w:t>
            </w:r>
          </w:p>
        </w:tc>
        <w:tc>
          <w:p>
            <w:pPr>
              <w:pStyle w:val="Compact"/>
              <w:jc w:val="left"/>
            </w:pPr>
            <w:r>
              <w:t xml:space="preserve">mm</w:t>
            </w:r>
          </w:p>
        </w:tc>
      </w:tr>
      <w:tr>
        <w:tc>
          <w:p>
            <w:pPr>
              <w:pStyle w:val="Compact"/>
              <w:jc w:val="left"/>
            </w:pPr>
            <m:oMath>
              <m:r>
                <m:t>L</m:t>
              </m:r>
            </m:oMath>
          </w:p>
        </w:tc>
        <w:tc>
          <w:p>
            <w:pPr>
              <w:pStyle w:val="Compact"/>
              <w:jc w:val="right"/>
            </w:pPr>
            <w:r>
              <w:t xml:space="preserve">20.0000</w:t>
            </w:r>
          </w:p>
        </w:tc>
        <w:tc>
          <w:p>
            <w:pPr>
              <w:pStyle w:val="Compact"/>
              <w:jc w:val="left"/>
            </w:pPr>
            <w:r>
              <w:t xml:space="preserve">cm</w:t>
            </w:r>
          </w:p>
        </w:tc>
      </w:tr>
      <w:tr>
        <w:tc>
          <w:p>
            <w:pPr>
              <w:pStyle w:val="Compact"/>
              <w:jc w:val="left"/>
            </w:pPr>
            <m:oMath>
              <m:r>
                <m:t>ρ</m:t>
              </m:r>
            </m:oMath>
          </w:p>
        </w:tc>
        <w:tc>
          <w:p>
            <w:pPr>
              <w:pStyle w:val="Compact"/>
              <w:jc w:val="right"/>
            </w:pPr>
            <w:r>
              <w:t xml:space="preserve">1000.0000</w:t>
            </w:r>
          </w:p>
        </w:tc>
        <w:tc>
          <w:p>
            <w:pPr>
              <w:pStyle w:val="Compact"/>
              <w:jc w:val="left"/>
            </w:pPr>
            <w:r>
              <w:t xml:space="preserve">kg/m3</w:t>
            </w:r>
          </w:p>
        </w:tc>
      </w:tr>
      <w:tr>
        <w:tc>
          <w:p>
            <w:pPr>
              <w:pStyle w:val="Compact"/>
              <w:jc w:val="left"/>
            </w:pPr>
            <m:oMath>
              <m:r>
                <m:t>ϵ</m:t>
              </m:r>
            </m:oMath>
          </w:p>
        </w:tc>
        <w:tc>
          <w:p>
            <w:pPr>
              <w:pStyle w:val="Compact"/>
              <w:jc w:val="right"/>
            </w:pPr>
            <w:r>
              <w:t xml:space="preserve">0.0015</w:t>
            </w:r>
          </w:p>
        </w:tc>
        <w:tc>
          <w:p>
            <w:pPr>
              <w:pStyle w:val="Compact"/>
              <w:jc w:val="left"/>
            </w:pPr>
            <w:r>
              <w:t xml:space="preserve">mm</w:t>
            </w:r>
          </w:p>
        </w:tc>
      </w:tr>
      <w:tr>
        <w:tc>
          <w:p>
            <w:pPr>
              <w:pStyle w:val="Compact"/>
              <w:jc w:val="left"/>
            </w:pPr>
            <m:oMath>
              <m:r>
                <m:t>ν</m:t>
              </m:r>
            </m:oMath>
          </w:p>
        </w:tc>
        <w:tc>
          <w:p>
            <w:pPr>
              <w:pStyle w:val="Compact"/>
              <w:jc w:val="right"/>
            </w:pPr>
            <w:r>
              <w:t xml:space="preserve">1.3000</w:t>
            </w:r>
          </w:p>
        </w:tc>
        <w:tc>
          <w:p>
            <w:pPr>
              <w:pStyle w:val="Compact"/>
              <w:jc w:val="left"/>
            </w:pPr>
            <w:r>
              <w:t xml:space="preserve">mPa-sec</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29" w:name="analysis"/>
      <w:bookmarkEnd w:id="29"/>
      <w:r>
        <w:t xml:space="preserve">Analysis</w:t>
      </w:r>
    </w:p>
    <w:p>
      <w:pPr>
        <w:pStyle w:val="FirstParagraph"/>
      </w:pPr>
      <w:r>
        <w:t xml:space="preserve">For a given flow rate, a Thompson tau test</w:t>
      </w:r>
      <w:r>
        <w:t xml:space="preserve"> </w:t>
      </w:r>
      <w:r>
        <w:t xml:space="preserve">[3]</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sub>
        </m:sSub>
        <m:r>
          <m:t>y</m:t>
        </m:r>
        <m:r>
          <m:t>s</m:t>
        </m:r>
      </m:oMath>
      <w:r>
        <w:t xml:space="preserve"> </w:t>
      </w:r>
      <w:r>
        <w:t xml:space="preserve">si the systematic uncertainty in each measurand due to sensor accuracy and readability.</w:t>
      </w:r>
    </w:p>
    <w:p>
      <w:pPr>
        <w:pStyle w:val="BodyText"/>
      </w:pPr>
      <w:r>
        <w:t xml:space="preserve">Total uncertainty in Reynolds number is estimated in a similar manner. Additional details of the uncertainty analysis with numerical values is provided in an appendix.</w:t>
      </w:r>
    </w:p>
    <w:p>
      <w:pPr>
        <w:pStyle w:val="Heading2"/>
      </w:pPr>
      <w:bookmarkStart w:id="30" w:name="results"/>
      <w:bookmarkEnd w:id="30"/>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BodyText"/>
      </w:pPr>
      <w:r>
        <w:t xml:space="preserve">Table 3. Mean friction factor and Reynolds number at three operating conditions.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401587.6</w:t>
            </w:r>
          </w:p>
        </w:tc>
        <w:tc>
          <w:p>
            <w:pPr>
              <w:pStyle w:val="Compact"/>
              <w:jc w:val="right"/>
            </w:pPr>
            <w:r>
              <w:t xml:space="preserve">80.94339</w:t>
            </w:r>
          </w:p>
        </w:tc>
      </w:tr>
      <w:tr>
        <w:tc>
          <w:p>
            <w:pPr>
              <w:pStyle w:val="Compact"/>
              <w:jc w:val="left"/>
            </w:pPr>
            <w:r>
              <w:t xml:space="preserve">Medium</w:t>
            </w:r>
          </w:p>
        </w:tc>
        <w:tc>
          <w:p>
            <w:pPr>
              <w:pStyle w:val="Compact"/>
              <w:jc w:val="right"/>
            </w:pPr>
            <w:r>
              <w:t xml:space="preserve">2.5</w:t>
            </w:r>
          </w:p>
        </w:tc>
        <w:tc>
          <w:p>
            <w:pPr>
              <w:pStyle w:val="Compact"/>
              <w:jc w:val="right"/>
            </w:pPr>
            <w:r>
              <w:t xml:space="preserve">971170.1</w:t>
            </w:r>
          </w:p>
        </w:tc>
        <w:tc>
          <w:p>
            <w:pPr>
              <w:pStyle w:val="Compact"/>
              <w:jc w:val="right"/>
            </w:pPr>
            <w:r>
              <w:t xml:space="preserve">80.94339</w:t>
            </w:r>
          </w:p>
        </w:tc>
      </w:tr>
      <w:tr>
        <w:tc>
          <w:p>
            <w:pPr>
              <w:pStyle w:val="Compact"/>
              <w:jc w:val="left"/>
            </w:pPr>
            <w:r>
              <w:t xml:space="preserve">High</w:t>
            </w:r>
          </w:p>
        </w:tc>
        <w:tc>
          <w:p>
            <w:pPr>
              <w:pStyle w:val="Compact"/>
              <w:jc w:val="right"/>
            </w:pPr>
            <w:r>
              <w:t xml:space="preserve">3.5</w:t>
            </w:r>
          </w:p>
        </w:tc>
        <w:tc>
          <w:p>
            <w:pPr>
              <w:pStyle w:val="Compact"/>
              <w:jc w:val="right"/>
            </w:pPr>
            <w:r>
              <w:t xml:space="preserve">1726346.9</w:t>
            </w:r>
          </w:p>
        </w:tc>
        <w:tc>
          <w:p>
            <w:pPr>
              <w:pStyle w:val="Compact"/>
              <w:jc w:val="right"/>
            </w:pPr>
            <w:r>
              <w:t xml:space="preserve">80.94339</w:t>
            </w:r>
          </w:p>
        </w:tc>
      </w:tr>
    </w:tbl>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BodyText"/>
      </w:pPr>
      <w:r>
        <w:t xml:space="preserve">Table 4. Friction factor comparison.</w:t>
      </w:r>
    </w:p>
    <w:p>
      <w:pPr>
        <w:pStyle w:val="SourceCode"/>
      </w:pPr>
      <w:r>
        <w:rPr>
          <w:rStyle w:val="CommentTok"/>
        </w:rPr>
        <w:t xml:space="preserve">#insert table 4 here</w:t>
      </w:r>
    </w:p>
    <w:p>
      <w:pPr>
        <w:pStyle w:val="SourceCode"/>
      </w:pPr>
      <w:r>
        <w:rPr>
          <w:rStyle w:val="CommentTok"/>
        </w:rPr>
        <w:t xml:space="preserve">#add moody chart graph here</w:t>
      </w:r>
    </w:p>
    <w:p>
      <w:pPr>
        <w:pStyle w:val="FirstParagraph"/>
      </w:pPr>
      <w:r>
        <w:t xml:space="preserve">Figure 4. Resultants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 graphed on a Moody diagram</w:t>
      </w:r>
      <w:r>
        <w:t xml:space="preserve"> </w:t>
      </w:r>
      <w:r>
        <w:t xml:space="preserve">[4]</w:t>
      </w:r>
      <w:r>
        <w:t xml:space="preserve">.</w:t>
      </w:r>
    </w:p>
    <w:p>
      <w:pPr>
        <w:pStyle w:val="BodyText"/>
      </w:pPr>
      <w:r>
        <w:t xml:space="preserve">Relative uncertainties are shown in Table 5. For fluid system results of this type, relative uncertainties fo 25% are common</w:t>
      </w:r>
      <w:r>
        <w:t xml:space="preserve"> </w:t>
      </w:r>
      <w:r>
        <w:t xml:space="preserve">[5]</w:t>
      </w:r>
      <w:r>
        <w:t xml:space="preserve">.</w:t>
      </w:r>
    </w:p>
    <w:p>
      <w:pPr>
        <w:pStyle w:val="BodyText"/>
      </w:pPr>
      <w:r>
        <w:t xml:space="preserve">Table 5. Summary of relative uncertainties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w:t>
      </w:r>
    </w:p>
    <w:p>
      <w:pPr>
        <w:pStyle w:val="SourceCode"/>
      </w:pPr>
      <w:r>
        <w:rPr>
          <w:rStyle w:val="CommentTok"/>
        </w:rPr>
        <w:t xml:space="preserve">#insert table 5 here</w:t>
      </w:r>
    </w:p>
    <w:p>
      <w:pPr>
        <w:pStyle w:val="Heading2"/>
      </w:pPr>
      <w:bookmarkStart w:id="31" w:name="conclusion"/>
      <w:bookmarkEnd w:id="31"/>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32" w:name="references"/>
      <w:bookmarkEnd w:id="32"/>
      <w:r>
        <w:t xml:space="preserve">References</w:t>
      </w:r>
    </w:p>
    <w:p>
      <w:pPr>
        <w:pStyle w:val="Bibliography"/>
      </w:pPr>
      <w:r>
        <w:t xml:space="preserve">[1] Gerhart,</w:t>
      </w:r>
      <w:r>
        <w:t xml:space="preserve"> </w:t>
      </w:r>
      <w:r>
        <w:rPr>
          <w:i/>
        </w:rPr>
        <w:t xml:space="preserve">Dimensional analysis of pipe flow</w:t>
      </w:r>
      <w:r>
        <w:t xml:space="preserve">. Wiley, 2013.</w:t>
      </w:r>
    </w:p>
    <w:p>
      <w:pPr>
        <w:pStyle w:val="Bibliography"/>
      </w:pPr>
      <w:r>
        <w:t xml:space="preserve">[2] T. E. Toolbox, n.d.</w:t>
      </w:r>
    </w:p>
    <w:p>
      <w:pPr>
        <w:pStyle w:val="Bibliography"/>
      </w:pPr>
      <w:r>
        <w:t xml:space="preserve">[3] S. H. To,</w:t>
      </w:r>
      <w:r>
        <w:t xml:space="preserve"> </w:t>
      </w:r>
      <w:r>
        <w:rPr>
          <w:i/>
        </w:rPr>
        <w:t xml:space="preserve">Modified thompson tau test</w:t>
      </w:r>
      <w:r>
        <w:t xml:space="preserve">. 2016.</w:t>
      </w:r>
    </w:p>
    <w:p>
      <w:pPr>
        <w:pStyle w:val="Bibliography"/>
      </w:pPr>
      <w:r>
        <w:t xml:space="preserve">[4] T. Davis,</w:t>
      </w:r>
      <w:r>
        <w:t xml:space="preserve"> </w:t>
      </w:r>
      <w:r>
        <w:rPr>
          <w:i/>
        </w:rPr>
        <w:t xml:space="preserve">Moody diagram (version 1.0)</w:t>
      </w:r>
      <w:r>
        <w:t xml:space="preserve">. 2008.</w:t>
      </w:r>
    </w:p>
    <w:p>
      <w:pPr>
        <w:pStyle w:val="Bibliography"/>
      </w:pPr>
      <w:r>
        <w:t xml:space="preserve">[5] W. L. Oberkampf,</w:t>
      </w:r>
      <w:r>
        <w:t xml:space="preserve"> </w:t>
      </w:r>
      <w:r>
        <w:rPr>
          <w:i/>
        </w:rPr>
        <w:t xml:space="preserve">Error uncertainty in modeling and simulation</w:t>
      </w:r>
      <w:r>
        <w:t xml:space="preserve">. 2001.</w:t>
      </w:r>
    </w:p>
    <w:sectPr w:rsidR="001138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805A720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CC897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7D8BDB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4CAA45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56269A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5A6E9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AB2FF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64004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964BD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49AC9E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3e91e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20D39"/>
    <w:pPr>
      <w:keepNext/>
      <w:keepLines/>
      <w:spacing w:before="480" w:after="240"/>
      <w:jc w:val="center"/>
    </w:pPr>
    <w:rPr>
      <w:rFonts w:ascii="Palatino Linotype" w:eastAsiaTheme="majorEastAsia" w:hAnsi="Palatino Linotype" w:cstheme="majorBidi"/>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20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jpg" /><Relationship Type="http://schemas.openxmlformats.org/officeDocument/2006/relationships/image" Id="rId27" Target="media/rId2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Rose-Hulman Institute of Technology</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2018-09-21T00:43:41Z</dcterms:created>
  <dcterms:modified xsi:type="dcterms:W3CDTF">2018-09-21T00:43:41Z</dcterms:modified>
</cp:coreProperties>
</file>