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jpg" ContentType="image/jpeg"/>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20</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drawing>
          <wp:inline>
            <wp:extent cx="5621153" cy="4013734"/>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621153" cy="4013734"/>
                    </a:xfrm>
                    <a:prstGeom prst="rect">
                      <a:avLst/>
                    </a:prstGeom>
                    <a:noFill/>
                    <a:ln w="9525">
                      <a:noFill/>
                      <a:headEnd/>
                      <a:tailEnd/>
                    </a:ln>
                  </pic:spPr>
                </pic:pic>
              </a:graphicData>
            </a:graphic>
          </wp:inline>
        </w:drawing>
      </w:r>
    </w:p>
    <w:p>
      <w:pPr>
        <w:pStyle w:val="BodyText"/>
      </w:pP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SourceCode"/>
      </w:pPr>
      <w:r>
        <w:rPr>
          <w:rStyle w:val="NormalTok"/>
        </w:rPr>
        <w:t xml:space="preserve">eqn_id &lt;-</w:t>
      </w:r>
      <w:r>
        <w:rPr>
          <w:rStyle w:val="StringTok"/>
        </w:rPr>
        <w:t xml:space="preserve"> </w:t>
      </w:r>
      <w:r>
        <w:rPr>
          <w:rStyle w:val="KeywordTok"/>
        </w:rPr>
        <w:t xml:space="preserve">captioner</w:t>
      </w:r>
      <w:r>
        <w:rPr>
          <w:rStyle w:val="NormalTok"/>
        </w:rPr>
        <w:t xml:space="preserve">(</w:t>
      </w:r>
      <w:r>
        <w:rPr>
          <w:rStyle w:val="DataTypeTok"/>
        </w:rPr>
        <w:t xml:space="preserve">prefix =</w:t>
      </w:r>
      <w:r>
        <w:rPr>
          <w:rStyle w:val="NormalTok"/>
        </w:rPr>
        <w:t xml:space="preserve"> </w:t>
      </w:r>
      <w:r>
        <w:rPr>
          <w:rStyle w:val="StringTok"/>
        </w:rPr>
        <w:t xml:space="preserve">"eqn"</w:t>
      </w:r>
      <w:r>
        <w:rPr>
          <w:rStyle w:val="NormalTok"/>
        </w:rPr>
        <w:t xml:space="preserve">)</w:t>
      </w:r>
      <w:r>
        <w:br w:type="textWrapping"/>
      </w:r>
      <w:r>
        <w:rPr>
          <w:rStyle w:val="KeywordTok"/>
        </w:rPr>
        <w:t xml:space="preserve">eqn_id</w:t>
      </w:r>
      <w:r>
        <w:rPr>
          <w:rStyle w:val="NormalTok"/>
        </w:rPr>
        <w:t xml:space="preserve">(</w:t>
      </w:r>
      <w:r>
        <w:rPr>
          <w:rStyle w:val="DataTypeTok"/>
        </w:rPr>
        <w:t xml:space="preserve">name =</w:t>
      </w:r>
      <w:r>
        <w:rPr>
          <w:rStyle w:val="NormalTok"/>
        </w:rPr>
        <w:t xml:space="preserve"> </w:t>
      </w:r>
      <w:r>
        <w:rPr>
          <w:rStyle w:val="StringTok"/>
        </w:rPr>
        <w:t xml:space="preserve">"eqn_1"</w:t>
      </w:r>
      <w:r>
        <w:rPr>
          <w:rStyle w:val="NormalTok"/>
        </w:rPr>
        <w:t xml:space="preserve">)</w:t>
      </w:r>
    </w:p>
    <w:p>
      <w:pPr>
        <w:pStyle w:val="SourceCode"/>
      </w:pPr>
      <w:r>
        <w:rPr>
          <w:rStyle w:val="VerbatimChar"/>
        </w:rPr>
        <w:t xml:space="preserve">## [1] "eqn  1: "</w:t>
      </w:r>
    </w:p>
    <w:p>
      <w:pPr>
        <w:pStyle w:val="FirstParagraph"/>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rPr>
          <w:b/>
        </w:rPr>
        <w:t xml:space="preserve">(1)</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5"/>
                    <a:stretch>
                      <a:fillRect/>
                    </a:stretch>
                  </pic:blipFill>
                  <pic:spPr bwMode="auto">
                    <a:xfrm>
                      <a:off x="0" y="0"/>
                      <a:ext cx="3574472" cy="1546167"/>
                    </a:xfrm>
                    <a:prstGeom prst="rect">
                      <a:avLst/>
                    </a:prstGeom>
                    <a:noFill/>
                    <a:ln w="9525">
                      <a:noFill/>
                      <a:headEnd/>
                      <a:tailEnd/>
                    </a:ln>
                  </pic:spPr>
                </pic:pic>
              </a:graphicData>
            </a:graphic>
          </wp:inline>
        </w:drawing>
      </w:r>
    </w:p>
    <w:p>
      <w:pPr>
        <w:pStyle w:val="BodyText"/>
      </w:pP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26" w:name="procedure"/>
      <w:bookmarkEnd w:id="26"/>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27"/>
                    <a:stretch>
                      <a:fillRect/>
                    </a:stretch>
                  </pic:blipFill>
                  <pic:spPr bwMode="auto">
                    <a:xfrm>
                      <a:off x="0" y="0"/>
                      <a:ext cx="4006734" cy="2589414"/>
                    </a:xfrm>
                    <a:prstGeom prst="rect">
                      <a:avLst/>
                    </a:prstGeom>
                    <a:noFill/>
                    <a:ln w="9525">
                      <a:noFill/>
                      <a:headEnd/>
                      <a:tailEnd/>
                    </a:ln>
                  </pic:spPr>
                </pic:pic>
              </a:graphicData>
            </a:graphic>
          </wp:inline>
        </w:drawing>
      </w:r>
    </w:p>
    <w:p>
      <w:pPr>
        <w:pStyle w:val="BodyText"/>
      </w:pPr>
      <w:r>
        <w:t xml:space="preserve">Figure 3. Elements of the apparatus important for the procedure.</w:t>
      </w:r>
    </w:p>
    <w:p>
      <w:pPr>
        <w:pStyle w:val="Heading2"/>
      </w:pPr>
      <w:bookmarkStart w:id="28" w:name="data"/>
      <w:bookmarkEnd w:id="28"/>
      <w:r>
        <w:t xml:space="preserve">Data</w:t>
      </w:r>
    </w:p>
    <w:p>
      <w:pPr>
        <w:pStyle w:val="FirstParagraph"/>
      </w:pPr>
      <w:r>
        <w:t xml:space="preserve">The thirty observations are shown in Table 2.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BodyText"/>
      </w:pPr>
      <w:r>
        <w:t xml:space="preserve">Table 1. Complete experimental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w:t>
            </w:r>
          </w:p>
        </w:tc>
        <w:tc>
          <w:p>
            <w:pPr>
              <w:pStyle w:val="Compact"/>
              <w:jc w:val="left"/>
            </w:pPr>
            <w:r>
              <w:t xml:space="preserve">mm</w:t>
            </w:r>
          </w:p>
        </w:tc>
      </w:tr>
      <w:tr>
        <w:tc>
          <w:p>
            <w:pPr>
              <w:pStyle w:val="Compact"/>
              <w:jc w:val="left"/>
            </w:pPr>
            <m:oMath>
              <m:r>
                <m:t>L</m:t>
              </m:r>
            </m:oMath>
          </w:p>
        </w:tc>
        <w:tc>
          <w:p>
            <w:pPr>
              <w:pStyle w:val="Compact"/>
              <w:jc w:val="right"/>
            </w:pPr>
            <w:r>
              <w:t xml:space="preserve">20.0000</w:t>
            </w:r>
          </w:p>
        </w:tc>
        <w:tc>
          <w:p>
            <w:pPr>
              <w:pStyle w:val="Compact"/>
              <w:jc w:val="left"/>
            </w:pPr>
            <w:r>
              <w:t xml:space="preserve">cm</w:t>
            </w:r>
          </w:p>
        </w:tc>
      </w:tr>
      <w:tr>
        <w:tc>
          <w:p>
            <w:pPr>
              <w:pStyle w:val="Compact"/>
              <w:jc w:val="left"/>
            </w:pPr>
            <m:oMath>
              <m:r>
                <m:t>ρ</m:t>
              </m:r>
            </m:oMath>
          </w:p>
        </w:tc>
        <w:tc>
          <w:p>
            <w:pPr>
              <w:pStyle w:val="Compact"/>
              <w:jc w:val="right"/>
            </w:pPr>
            <w:r>
              <w:t xml:space="preserve">1000.0000</w:t>
            </w:r>
          </w:p>
        </w:tc>
        <w:tc>
          <w:p>
            <w:pPr>
              <w:pStyle w:val="Compact"/>
              <w:jc w:val="left"/>
            </w:pPr>
            <w:r>
              <w:t xml:space="preserve">kg/m3</w:t>
            </w:r>
          </w:p>
        </w:tc>
      </w:tr>
      <w:tr>
        <w:tc>
          <w:p>
            <w:pPr>
              <w:pStyle w:val="Compact"/>
              <w:jc w:val="left"/>
            </w:pPr>
            <m:oMath>
              <m:r>
                <m:t>ϵ</m:t>
              </m:r>
            </m:oMath>
          </w:p>
        </w:tc>
        <w:tc>
          <w:p>
            <w:pPr>
              <w:pStyle w:val="Compact"/>
              <w:jc w:val="right"/>
            </w:pPr>
            <w:r>
              <w:t xml:space="preserve">0.0015</w:t>
            </w:r>
          </w:p>
        </w:tc>
        <w:tc>
          <w:p>
            <w:pPr>
              <w:pStyle w:val="Compact"/>
              <w:jc w:val="left"/>
            </w:pPr>
            <w:r>
              <w:t xml:space="preserve">mm</w:t>
            </w:r>
          </w:p>
        </w:tc>
      </w:tr>
      <w:tr>
        <w:tc>
          <w:p>
            <w:pPr>
              <w:pStyle w:val="Compact"/>
              <w:jc w:val="left"/>
            </w:pPr>
            <m:oMath>
              <m:r>
                <m:t>ν</m:t>
              </m:r>
            </m:oMath>
          </w:p>
        </w:tc>
        <w:tc>
          <w:p>
            <w:pPr>
              <w:pStyle w:val="Compact"/>
              <w:jc w:val="right"/>
            </w:pPr>
            <w:r>
              <w:t xml:space="preserve">1.3000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29" w:name="analysis"/>
      <w:bookmarkEnd w:id="29"/>
      <w:r>
        <w:t xml:space="preserve">Analysis</w:t>
      </w:r>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0" w:name="results"/>
      <w:bookmarkEnd w:id="3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401587.6</w:t>
            </w:r>
          </w:p>
        </w:tc>
        <w:tc>
          <w:p>
            <w:pPr>
              <w:pStyle w:val="Compact"/>
              <w:jc w:val="right"/>
            </w:pPr>
            <w:r>
              <w:t xml:space="preserve">80.94339</w:t>
            </w:r>
          </w:p>
        </w:tc>
      </w:tr>
      <w:tr>
        <w:tc>
          <w:p>
            <w:pPr>
              <w:pStyle w:val="Compact"/>
              <w:jc w:val="left"/>
            </w:pPr>
            <w:r>
              <w:t xml:space="preserve">Medium</w:t>
            </w:r>
          </w:p>
        </w:tc>
        <w:tc>
          <w:p>
            <w:pPr>
              <w:pStyle w:val="Compact"/>
              <w:jc w:val="right"/>
            </w:pPr>
            <w:r>
              <w:t xml:space="preserve">2.5</w:t>
            </w:r>
          </w:p>
        </w:tc>
        <w:tc>
          <w:p>
            <w:pPr>
              <w:pStyle w:val="Compact"/>
              <w:jc w:val="right"/>
            </w:pPr>
            <w:r>
              <w:t xml:space="preserve">971170.1</w:t>
            </w:r>
          </w:p>
        </w:tc>
        <w:tc>
          <w:p>
            <w:pPr>
              <w:pStyle w:val="Compact"/>
              <w:jc w:val="right"/>
            </w:pPr>
            <w:r>
              <w:t xml:space="preserve">80.94339</w:t>
            </w:r>
          </w:p>
        </w:tc>
      </w:tr>
      <w:tr>
        <w:tc>
          <w:p>
            <w:pPr>
              <w:pStyle w:val="Compact"/>
              <w:jc w:val="left"/>
            </w:pPr>
            <w:r>
              <w:t xml:space="preserve">High</w:t>
            </w:r>
          </w:p>
        </w:tc>
        <w:tc>
          <w:p>
            <w:pPr>
              <w:pStyle w:val="Compact"/>
              <w:jc w:val="right"/>
            </w:pPr>
            <w:r>
              <w:t xml:space="preserve">3.5</w:t>
            </w:r>
          </w:p>
        </w:tc>
        <w:tc>
          <w:p>
            <w:pPr>
              <w:pStyle w:val="Compact"/>
              <w:jc w:val="right"/>
            </w:pPr>
            <w:r>
              <w:t xml:space="preserve">1726346.9</w:t>
            </w:r>
          </w:p>
        </w:tc>
        <w:tc>
          <w:p>
            <w:pPr>
              <w:pStyle w:val="Compact"/>
              <w:jc w:val="right"/>
            </w:pPr>
            <w:r>
              <w:t xml:space="preserve">80.94339</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p>
    <w:p>
      <w:pPr>
        <w:pStyle w:val="SourceCode"/>
      </w:pPr>
      <w:r>
        <w:rPr>
          <w:rStyle w:val="CommentTok"/>
        </w:rPr>
        <w:t xml:space="preserve">#insert table 4 here</w:t>
      </w:r>
    </w:p>
    <w:p>
      <w:pPr>
        <w:pStyle w:val="SourceCode"/>
      </w:pPr>
      <w:r>
        <w:rPr>
          <w:rStyle w:val="CommentTok"/>
        </w:rPr>
        <w:t xml:space="preserve">#add moody chart graph here</w:t>
      </w:r>
    </w:p>
    <w:p>
      <w:pPr>
        <w:pStyle w:val="FirstParagraph"/>
      </w:pP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w:t>
      </w:r>
      <w:r>
        <w:t xml:space="preserve"> </w:t>
      </w:r>
      <w:r>
        <w:t xml:space="preserve">[4]</w:t>
      </w:r>
      <w:r>
        <w:t xml:space="preserve">.</w:t>
      </w:r>
    </w:p>
    <w:p>
      <w:pPr>
        <w:pStyle w:val="BodyText"/>
      </w:pPr>
      <w:r>
        <w:t xml:space="preserve">Relative uncertainties are shown in Table 5. For fluid system results of this type, relative uncertainties fo 25% are common</w:t>
      </w:r>
      <w:r>
        <w:t xml:space="preserve"> </w:t>
      </w:r>
      <w:r>
        <w:t xml:space="preserve">[5]</w:t>
      </w:r>
      <w:r>
        <w:t xml:space="preserve">.</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p>
    <w:p>
      <w:pPr>
        <w:pStyle w:val="SourceCode"/>
      </w:pPr>
      <w:r>
        <w:rPr>
          <w:rStyle w:val="CommentTok"/>
        </w:rPr>
        <w:t xml:space="preserve">#insert table 5 here</w:t>
      </w:r>
    </w:p>
    <w:p>
      <w:pPr>
        <w:pStyle w:val="Heading2"/>
      </w:pPr>
      <w:bookmarkStart w:id="31" w:name="conclusion"/>
      <w:bookmarkEnd w:id="31"/>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32" w:name="references"/>
      <w:bookmarkEnd w:id="32"/>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p>
      <w:pPr>
        <w:pStyle w:val="Bibliography"/>
      </w:pPr>
      <w:r>
        <w:t xml:space="preserve">[3] S. H. To,</w:t>
      </w:r>
      <w:r>
        <w:t xml:space="preserve"> </w:t>
      </w:r>
      <w:r>
        <w:rPr>
          <w:i/>
        </w:rPr>
        <w:t xml:space="preserve">Modified thompson tau test</w:t>
      </w:r>
      <w:r>
        <w:t xml:space="preserve">. 2016.</w:t>
      </w:r>
    </w:p>
    <w:p>
      <w:pPr>
        <w:pStyle w:val="Bibliography"/>
      </w:pPr>
      <w:r>
        <w:t xml:space="preserve">[4] T. Davis,</w:t>
      </w:r>
      <w:r>
        <w:t xml:space="preserve"> </w:t>
      </w:r>
      <w:r>
        <w:rPr>
          <w:i/>
        </w:rPr>
        <w:t xml:space="preserve">Moody diagram (version 1.0)</w:t>
      </w:r>
      <w:r>
        <w:t xml:space="preserve">. 2008.</w:t>
      </w:r>
    </w:p>
    <w:p>
      <w:pPr>
        <w:pStyle w:val="Bibliography"/>
      </w:pPr>
      <w:r>
        <w:t xml:space="preserve">[5] W. L. Oberkampf,</w:t>
      </w:r>
      <w:r>
        <w:t xml:space="preserve"> </w:t>
      </w:r>
      <w:r>
        <w:rPr>
          <w:i/>
        </w:rPr>
        <w:t xml:space="preserve">Error uncertainty in modeling and simulation</w:t>
      </w:r>
      <w:r>
        <w:t xml:space="preserve">. 2001.</w:t>
      </w:r>
    </w:p>
    <w:sectPr w:rsidR="001138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805A72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CC897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7D8BD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CAA4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56269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A6E9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AB2FF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64004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64BD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49AC9E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0f9e1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20D39"/>
    <w:pPr>
      <w:keepNext/>
      <w:keepLines/>
      <w:spacing w:before="480" w:after="240"/>
      <w:jc w:val="center"/>
    </w:pPr>
    <w:rPr>
      <w:rFonts w:ascii="Palatino Linotype" w:eastAsiaTheme="majorEastAsia" w:hAnsi="Palatino Linotype" w:cstheme="majorBidi"/>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Rose-Hulman Institute of Technology</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2018-09-20T18:55:53Z</dcterms:created>
  <dcterms:modified xsi:type="dcterms:W3CDTF">2018-09-20T18:55:53Z</dcterms:modified>
</cp:coreProperties>
</file>