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p>
      <w:pPr>
        <w:pStyle w:val="SourceCode"/>
      </w:pPr>
      <w:r>
        <w:rPr>
          <w:rStyle w:val="CommentTok"/>
        </w:rPr>
        <w:t xml:space="preserve">#insert table 3 here</w: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r>
        <w:t xml:space="preserve">Relative uncertainties are shown in Table 5. For fluid system results of this type, relative uncertainties fo 25% are common</w:t>
      </w:r>
      <w:r>
        <w:t xml:space="preserve"> </w:t>
      </w:r>
      <w:r>
        <w:t xml:space="preserve">[5]</w:t>
      </w:r>
      <w:r>
        <w:t xml:space="preserve">.</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p>
      <w:pPr>
        <w:pStyle w:val="Bibliography"/>
      </w:pPr>
      <w:r>
        <w:t xml:space="preserve">[5] W. L. Oberkampf,</w:t>
      </w:r>
      <w:r>
        <w:t xml:space="preserve"> </w:t>
      </w:r>
      <w:r>
        <w:rPr>
          <w:i/>
        </w:rPr>
        <w:t xml:space="preserve">Error uncertainty in modeling and simulation</w:t>
      </w:r>
      <w:r>
        <w:t xml:space="preserve">. 2001.</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2225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2018-09-20T17:59:08Z</dcterms:created>
  <dcterms:modified xsi:type="dcterms:W3CDTF">2018-09-20T17:59:08Z</dcterms:modified>
</cp:coreProperties>
</file>