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jpg" ContentType="image/jpeg"/>
  <Override PartName="/word/media/rId31.jpg" ContentType="image/jpe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22</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5621153" cy="4013734"/>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5621153" cy="4013734"/>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2"/>
      </w:pPr>
      <w:bookmarkStart w:id="26" w:name="modeling"/>
      <w:bookmarkEnd w:id="26"/>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rPr>
          <w:b/>
        </w:rP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bookmarkEnd w:id="28"/>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29" w:name="figure-2-illustrating-the-variables-that-appear-in-the-data-reduction-equation."/>
      <w:bookmarkEnd w:id="29"/>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30" w:name="procedure"/>
      <w:bookmarkEnd w:id="30"/>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2" w:name="section-2"/>
      <w:bookmarkEnd w:id="3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1"/>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3" w:name="figure-3-elements-of-the-apparatus-important-for-the-procedure."/>
      <w:bookmarkEnd w:id="33"/>
      <w:r>
        <w:t xml:space="preserve">Figure 3: Elements of the apparatus important for the procedure.</w:t>
      </w:r>
    </w:p>
    <w:p>
      <w:pPr>
        <w:pStyle w:val="Heading2"/>
      </w:pPr>
      <w:bookmarkStart w:id="34" w:name="data"/>
      <w:bookmarkEnd w:id="34"/>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w:t>
            </w:r>
          </w:p>
        </w:tc>
        <w:tc>
          <w:p>
            <w:pPr>
              <w:pStyle w:val="Compact"/>
              <w:jc w:val="left"/>
            </w:pPr>
            <w:r>
              <w:t xml:space="preserve">mm</w:t>
            </w:r>
          </w:p>
        </w:tc>
      </w:tr>
      <w:tr>
        <w:tc>
          <w:p>
            <w:pPr>
              <w:pStyle w:val="Compact"/>
              <w:jc w:val="left"/>
            </w:pPr>
            <m:oMath>
              <m:r>
                <m:t>L</m:t>
              </m:r>
            </m:oMath>
          </w:p>
        </w:tc>
        <w:tc>
          <w:p>
            <w:pPr>
              <w:pStyle w:val="Compact"/>
              <w:jc w:val="right"/>
            </w:pPr>
            <w:r>
              <w:t xml:space="preserve">20.0000</w:t>
            </w:r>
          </w:p>
        </w:tc>
        <w:tc>
          <w:p>
            <w:pPr>
              <w:pStyle w:val="Compact"/>
              <w:jc w:val="left"/>
            </w:pPr>
            <w:r>
              <w:t xml:space="preserve">cm</w:t>
            </w:r>
          </w:p>
        </w:tc>
      </w:tr>
      <w:tr>
        <w:tc>
          <w:p>
            <w:pPr>
              <w:pStyle w:val="Compact"/>
              <w:jc w:val="left"/>
            </w:pPr>
            <m:oMath>
              <m:r>
                <m:t>ρ</m:t>
              </m:r>
            </m:oMath>
          </w:p>
        </w:tc>
        <w:tc>
          <w:p>
            <w:pPr>
              <w:pStyle w:val="Compact"/>
              <w:jc w:val="right"/>
            </w:pPr>
            <w:r>
              <w:t xml:space="preserve">1000.0000</w:t>
            </w:r>
          </w:p>
        </w:tc>
        <w:tc>
          <w:p>
            <w:pPr>
              <w:pStyle w:val="Compact"/>
              <w:jc w:val="left"/>
            </w:pPr>
            <w:r>
              <w:t xml:space="preserve">kg/m3</w:t>
            </w:r>
          </w:p>
        </w:tc>
      </w:tr>
      <w:tr>
        <w:tc>
          <w:p>
            <w:pPr>
              <w:pStyle w:val="Compact"/>
              <w:jc w:val="left"/>
            </w:pPr>
            <m:oMath>
              <m:r>
                <m:t>ϵ</m:t>
              </m:r>
            </m:oMath>
          </w:p>
        </w:tc>
        <w:tc>
          <w:p>
            <w:pPr>
              <w:pStyle w:val="Compact"/>
              <w:jc w:val="right"/>
            </w:pPr>
            <w:r>
              <w:t xml:space="preserve">0.0015</w:t>
            </w:r>
          </w:p>
        </w:tc>
        <w:tc>
          <w:p>
            <w:pPr>
              <w:pStyle w:val="Compact"/>
              <w:jc w:val="left"/>
            </w:pPr>
            <w:r>
              <w:t xml:space="preserve">mm</w:t>
            </w:r>
          </w:p>
        </w:tc>
      </w:tr>
      <w:tr>
        <w:tc>
          <w:p>
            <w:pPr>
              <w:pStyle w:val="Compact"/>
              <w:jc w:val="left"/>
            </w:pPr>
            <m:oMath>
              <m:r>
                <m:t>ν</m:t>
              </m:r>
            </m:oMath>
          </w:p>
        </w:tc>
        <w:tc>
          <w:p>
            <w:pPr>
              <w:pStyle w:val="Compact"/>
              <w:jc w:val="right"/>
            </w:pPr>
            <w:r>
              <w:t xml:space="preserve">1.3000</w:t>
            </w:r>
          </w:p>
        </w:tc>
        <w:tc>
          <w:p>
            <w:pPr>
              <w:pStyle w:val="Compact"/>
              <w:jc w:val="left"/>
            </w:pPr>
            <w:r>
              <w:t xml:space="preserve">mPa-sec</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5" w:name="analysis"/>
      <w:bookmarkEnd w:id="35"/>
      <w:r>
        <w:t xml:space="preserve">Analysis</w:t>
      </w:r>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6" w:name="results"/>
      <w:bookmarkEnd w:id="36"/>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44.11494</w:t>
            </w:r>
          </w:p>
        </w:tc>
        <w:tc>
          <w:p>
            <w:pPr>
              <w:pStyle w:val="Compact"/>
              <w:jc w:val="right"/>
            </w:pPr>
            <w:r>
              <w:t xml:space="preserve">7649.15</w:t>
            </w:r>
          </w:p>
        </w:tc>
      </w:tr>
      <w:tr>
        <w:tc>
          <w:p>
            <w:pPr>
              <w:pStyle w:val="Compact"/>
              <w:jc w:val="left"/>
            </w:pPr>
            <w:r>
              <w:t xml:space="preserve">Medium</w:t>
            </w:r>
          </w:p>
        </w:tc>
        <w:tc>
          <w:p>
            <w:pPr>
              <w:pStyle w:val="Compact"/>
              <w:jc w:val="right"/>
            </w:pPr>
            <w:r>
              <w:t xml:space="preserve">2.5</w:t>
            </w:r>
          </w:p>
        </w:tc>
        <w:tc>
          <w:p>
            <w:pPr>
              <w:pStyle w:val="Compact"/>
              <w:jc w:val="right"/>
            </w:pPr>
            <w:r>
              <w:t xml:space="preserve">38.40636</w:t>
            </w:r>
          </w:p>
        </w:tc>
        <w:tc>
          <w:p>
            <w:pPr>
              <w:pStyle w:val="Compact"/>
              <w:jc w:val="right"/>
            </w:pPr>
            <w:r>
              <w:t xml:space="preserve">12748.58</w:t>
            </w:r>
          </w:p>
        </w:tc>
      </w:tr>
      <w:tr>
        <w:tc>
          <w:p>
            <w:pPr>
              <w:pStyle w:val="Compact"/>
              <w:jc w:val="left"/>
            </w:pPr>
            <w:r>
              <w:t xml:space="preserve">High</w:t>
            </w:r>
          </w:p>
        </w:tc>
        <w:tc>
          <w:p>
            <w:pPr>
              <w:pStyle w:val="Compact"/>
              <w:jc w:val="right"/>
            </w:pPr>
            <w:r>
              <w:t xml:space="preserve">3.5</w:t>
            </w:r>
          </w:p>
        </w:tc>
        <w:tc>
          <w:p>
            <w:pPr>
              <w:pStyle w:val="Compact"/>
              <w:jc w:val="right"/>
            </w:pPr>
            <w:r>
              <w:t xml:space="preserve">34.83212</w:t>
            </w:r>
          </w:p>
        </w:tc>
        <w:tc>
          <w:p>
            <w:pPr>
              <w:pStyle w:val="Compact"/>
              <w:jc w:val="right"/>
            </w:pPr>
            <w:r>
              <w:t xml:space="preserve">17848.02</w:t>
            </w:r>
          </w:p>
        </w:tc>
      </w:tr>
    </w:tbl>
    <w:p>
      <w:pPr>
        <w:pStyle w:val="BodyText"/>
      </w:pPr>
    </w:p>
    <w:p>
      <w:pPr>
        <w:pStyle w:val="BlockText"/>
      </w:pPr>
      <w:r>
        <w:t xml:space="preserve">—– Friction fractor is high by two orders of magnitude, what should I do?</w:t>
      </w:r>
    </w:p>
    <w:p>
      <w:pPr>
        <w:pStyle w:val="FirstParagraph"/>
      </w:pPr>
    </w:p>
    <w:p>
      <w:pPr>
        <w:pStyle w:val="BodyText"/>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[4]</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129269.3%</w:t>
            </w:r>
          </w:p>
        </w:tc>
      </w:tr>
      <w:tr>
        <w:tc>
          <w:p>
            <w:pPr>
              <w:pStyle w:val="Compact"/>
              <w:jc w:val="left"/>
            </w:pPr>
            <w:r>
              <w:t xml:space="preserve">Medium</w:t>
            </w:r>
          </w:p>
        </w:tc>
        <w:tc>
          <w:p>
            <w:pPr>
              <w:pStyle w:val="Compact"/>
              <w:jc w:val="right"/>
            </w:pPr>
            <w:r>
              <w:t xml:space="preserve">0.0305</w:t>
            </w:r>
          </w:p>
        </w:tc>
        <w:tc>
          <w:p>
            <w:pPr>
              <w:pStyle w:val="Compact"/>
              <w:jc w:val="left"/>
            </w:pPr>
            <w:r>
              <w:t xml:space="preserve">125822.5%</w:t>
            </w:r>
          </w:p>
        </w:tc>
      </w:tr>
      <w:tr>
        <w:tc>
          <w:p>
            <w:pPr>
              <w:pStyle w:val="Compact"/>
              <w:jc w:val="left"/>
            </w:pPr>
            <w:r>
              <w:t xml:space="preserve">High</w:t>
            </w:r>
          </w:p>
        </w:tc>
        <w:tc>
          <w:p>
            <w:pPr>
              <w:pStyle w:val="Compact"/>
              <w:jc w:val="right"/>
            </w:pPr>
            <w:r>
              <w:t xml:space="preserve">0.0280</w:t>
            </w:r>
          </w:p>
        </w:tc>
        <w:tc>
          <w:p>
            <w:pPr>
              <w:pStyle w:val="Compact"/>
              <w:jc w:val="left"/>
            </w:pPr>
            <w:r>
              <w:t xml:space="preserve">124300.4%</w:t>
            </w:r>
          </w:p>
        </w:tc>
      </w:tr>
    </w:tbl>
    <w:p>
      <w:pPr>
        <w:pStyle w:val="Heading6"/>
      </w:pPr>
      <w:bookmarkStart w:id="38" w:name="section-3"/>
      <w:bookmarkEnd w:id="38"/>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7"/>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39" w:name="figure-4-resultants-for-low-medium-and-high-flow-rates-graphed-on-a-moody-diagram."/>
      <w:bookmarkEnd w:id="39"/>
      <w:r>
        <w:t xml:space="preserve">Figure 4: Resultants for low, medium, and high flow rates graphed on a Moody diagram.</w:t>
      </w:r>
    </w:p>
    <w:p>
      <w:pPr>
        <w:pStyle w:val="FirstParagraph"/>
      </w:pPr>
    </w:p>
    <w:p>
      <w:pPr>
        <w:pStyle w:val="BlockText"/>
      </w:pPr>
      <w:r>
        <w:t xml:space="preserve">—– I don’t know how to plot the reference values and experimental values for friction factor on the image of the moody diagram, what should I do?</w:t>
      </w:r>
    </w:p>
    <w:p>
      <w:pPr>
        <w:pStyle w:val="FirstParagraph"/>
      </w:pPr>
    </w:p>
    <w:p>
      <w:pPr>
        <w:pStyle w:val="Heading2"/>
      </w:pPr>
      <w:bookmarkStart w:id="40" w:name="conclusion"/>
      <w:bookmarkEnd w:id="40"/>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1" w:name="references"/>
      <w:bookmarkEnd w:id="41"/>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E. Toolbox, n.d.</w:t>
      </w:r>
    </w:p>
    <w:p>
      <w:pPr>
        <w:pStyle w:val="Bibliography"/>
      </w:pPr>
      <w:r>
        <w:t xml:space="preserve">[3] S. H. To,</w:t>
      </w:r>
      <w:r>
        <w:t xml:space="preserve"> </w:t>
      </w:r>
      <w:r>
        <w:rPr>
          <w:i/>
        </w:rPr>
        <w:t xml:space="preserve">Modified thompson tau test</w:t>
      </w:r>
      <w:r>
        <w:t xml:space="preserve">. 2016.</w:t>
      </w:r>
    </w:p>
    <w:p>
      <w:pPr>
        <w:pStyle w:val="Bibliography"/>
      </w:pPr>
      <w:r>
        <w:t xml:space="preserve">[4] T. Davis,</w:t>
      </w:r>
      <w:r>
        <w:t xml:space="preserve"> </w:t>
      </w:r>
      <w:r>
        <w:rPr>
          <w:i/>
        </w:rPr>
        <w:t xml:space="preserve">Moody diagram (version 1.0)</w:t>
      </w:r>
      <w:r>
        <w:t xml:space="preserve">. 2008.</w:t>
      </w:r>
    </w:p>
    <w:sectPr w:rsidR="001138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805A72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CC897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7D8BD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4CAA4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56269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A6E9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AB2FF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64004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64BDD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49AC9E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87a3a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20D39"/>
    <w:pPr>
      <w:keepNext/>
      <w:keepLines/>
      <w:spacing w:before="480" w:after="240"/>
      <w:jc w:val="center"/>
    </w:pPr>
    <w:rPr>
      <w:rFonts w:ascii="Palatino Linotype" w:eastAsiaTheme="majorEastAsia" w:hAnsi="Palatino Linotype" w:cstheme="majorBidi"/>
      <w:bCs/>
      <w:i/>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Rose-Hulman Institute of Technology</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2018-09-23T02:23:41Z</dcterms:created>
  <dcterms:modified xsi:type="dcterms:W3CDTF">2018-09-23T02:23:41Z</dcterms:modified>
</cp:coreProperties>
</file>