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22</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7649.15</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12748.58</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17848.02</w:t>
            </w:r>
          </w:p>
        </w:tc>
      </w:tr>
    </w:tbl>
    <w:p>
      <w:pPr>
        <w:pStyle w:val="BodyText"/>
      </w:pPr>
    </w:p>
    <w:p>
      <w:pPr>
        <w:pStyle w:val="BlockText"/>
      </w:pPr>
      <w:r>
        <w:t xml:space="preserve">—– Friction fractor is high by two orders of magnitude, what should I do?</w:t>
      </w:r>
    </w:p>
    <w:p>
      <w:pPr>
        <w:pStyle w:val="FirstParagraph"/>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FirstParagraph"/>
      </w:pPr>
    </w:p>
    <w:p>
      <w:pPr>
        <w:pStyle w:val="BlockText"/>
      </w:pPr>
      <w:r>
        <w:t xml:space="preserve">—– I don’t know how to plot the reference values and experimental values for friction factor on the image of the moody diagram, what should I do?</w:t>
      </w:r>
    </w:p>
    <w:p>
      <w:pPr>
        <w:pStyle w:val="FirstParagraph"/>
      </w:pP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D935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80603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2018-09-23T02:58:47Z</dcterms:created>
  <dcterms:modified xsi:type="dcterms:W3CDTF">2018-09-23T02:58:47Z</dcterms:modified>
</cp:coreProperties>
</file>