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jpg" ContentType="image/jpeg"/>
  <Override PartName="/word/media/rId33.jpg" ContentType="image/jpeg"/>
  <Override PartName="/word/media/rId40.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05</w:t>
      </w:r>
      <w:r>
        <w:t xml:space="preserve"> </w:t>
      </w:r>
      <w:r>
        <w:t xml:space="preserve">October</w:t>
      </w:r>
      <w:r>
        <w:t xml:space="preserve"> </w:t>
      </w:r>
      <w:r>
        <w:t xml:space="preserve">2018</w:t>
      </w:r>
    </w:p>
    <w:p>
      <w:pPr>
        <w:pStyle w:val="Heading2"/>
      </w:pPr>
      <w:bookmarkStart w:id="20" w:name="introduction"/>
      <w:r>
        <w:t xml:space="preserve">Introduction</w:t>
      </w:r>
      <w:bookmarkEnd w:id="20"/>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1" w:name="apparatus"/>
      <w:r>
        <w:t xml:space="preserve">Apparatus</w:t>
      </w:r>
      <w:bookmarkEnd w:id="21"/>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3" w:name="section"/>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2"/>
                    <a:stretch>
                      <a:fillRect/>
                    </a:stretch>
                  </pic:blipFill>
                  <pic:spPr bwMode="auto">
                    <a:xfrm>
                      <a:off x="0" y="0"/>
                      <a:ext cx="4369869" cy="3147461"/>
                    </a:xfrm>
                    <a:prstGeom prst="rect">
                      <a:avLst/>
                    </a:prstGeom>
                    <a:noFill/>
                    <a:ln w="9525">
                      <a:noFill/>
                      <a:headEnd/>
                      <a:tailEnd/>
                    </a:ln>
                  </pic:spPr>
                </pic:pic>
              </a:graphicData>
            </a:graphic>
          </wp:inline>
        </w:drawing>
      </w:r>
      <w:bookmarkEnd w:id="23"/>
    </w:p>
    <w:p>
      <w:pPr>
        <w:pStyle w:val="Heading6"/>
      </w:pPr>
      <w:bookmarkStart w:id="24" w:name="figure-1-configuration-of-the-flow-bench."/>
      <w:r>
        <w:t xml:space="preserve">Figure 1: Configuration of the flow bench.</w:t>
      </w:r>
      <w:bookmarkEnd w:id="24"/>
    </w:p>
    <w:p>
      <w:pPr>
        <w:pStyle w:val="FirstParagraph"/>
      </w:pPr>
      <w:r>
        <w:t xml:space="preserve">Attached to the pipe are three manometers distanced at 20 cm apart for measuring fluid pressure at that point. Only two of the manometers are used.</w:t>
      </w:r>
    </w:p>
    <w:p>
      <w:pPr>
        <w:pStyle w:val="Heading5"/>
      </w:pPr>
      <w:bookmarkStart w:id="25" w:name="page-break"/>
      <w:r>
        <w:t xml:space="preserve">page break</w:t>
      </w:r>
      <w:bookmarkEnd w:id="25"/>
    </w:p>
    <w:p>
      <w:pPr>
        <w:pStyle w:val="Heading2"/>
      </w:pPr>
      <w:bookmarkStart w:id="26" w:name="modeling"/>
      <w:r>
        <w:t xml:space="preserve">Modeling</w:t>
      </w:r>
      <w:bookmarkEnd w:id="26"/>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bookmarkEnd w:id="28"/>
    </w:p>
    <w:p>
      <w:pPr>
        <w:pStyle w:val="Heading6"/>
      </w:pPr>
      <w:bookmarkStart w:id="29" w:name="figure-2-illustrating-the-variables-that-appear-in-the-data-reduction-equation."/>
      <w:r>
        <w:t xml:space="preserve">Figure 2: Illustrating the variables that appear in the data reduction equation.</w:t>
      </w:r>
      <w:bookmarkEnd w:id="29"/>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0" w:name="page-break-1"/>
      <w:r>
        <w:t xml:space="preserve">page break</w:t>
      </w:r>
      <w:bookmarkEnd w:id="30"/>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1" w:name="procedure"/>
      <w:r>
        <w:t xml:space="preserve">Procedure</w:t>
      </w:r>
      <w:bookmarkEnd w:id="31"/>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2" w:name="page-break-2"/>
      <w:r>
        <w:t xml:space="preserve">page break</w:t>
      </w:r>
      <w:bookmarkEnd w:id="32"/>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4"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3"/>
                    <a:stretch>
                      <a:fillRect/>
                    </a:stretch>
                  </pic:blipFill>
                  <pic:spPr bwMode="auto">
                    <a:xfrm>
                      <a:off x="0" y="0"/>
                      <a:ext cx="4006734" cy="2589414"/>
                    </a:xfrm>
                    <a:prstGeom prst="rect">
                      <a:avLst/>
                    </a:prstGeom>
                    <a:noFill/>
                    <a:ln w="9525">
                      <a:noFill/>
                      <a:headEnd/>
                      <a:tailEnd/>
                    </a:ln>
                  </pic:spPr>
                </pic:pic>
              </a:graphicData>
            </a:graphic>
          </wp:inline>
        </w:drawing>
      </w:r>
      <w:bookmarkEnd w:id="34"/>
    </w:p>
    <w:p>
      <w:pPr>
        <w:pStyle w:val="Heading6"/>
      </w:pPr>
      <w:bookmarkStart w:id="35" w:name="figure-3-elements-of-the-apparatus-important-for-the-procedure."/>
      <w:r>
        <w:t xml:space="preserve">Figure 3: Elements of the apparatus important for the procedure.</w:t>
      </w:r>
      <w:bookmarkEnd w:id="35"/>
    </w:p>
    <w:p>
      <w:pPr>
        <w:pStyle w:val="Heading2"/>
      </w:pPr>
      <w:bookmarkStart w:id="36" w:name="data"/>
      <w:r>
        <w:t xml:space="preserve">Data</w:t>
      </w:r>
      <w:bookmarkEnd w:id="36"/>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37" w:name="page-break-3"/>
      <w:r>
        <w:t xml:space="preserve">page break</w:t>
      </w:r>
      <w:bookmarkEnd w:id="37"/>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8" w:name="analysis"/>
      <w:r>
        <w:t xml:space="preserve">Analysis</w:t>
      </w:r>
      <w:bookmarkEnd w:id="38"/>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9" w:name="results"/>
      <w:r>
        <w:t xml:space="preserve">Results</w:t>
      </w:r>
      <w:bookmarkEnd w:id="39"/>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1" w:name="section-3"/>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0"/>
                    <a:stretch>
                      <a:fillRect/>
                    </a:stretch>
                  </pic:blipFill>
                  <pic:spPr bwMode="auto">
                    <a:xfrm>
                      <a:off x="0" y="0"/>
                      <a:ext cx="5265018" cy="7729086"/>
                    </a:xfrm>
                    <a:prstGeom prst="rect">
                      <a:avLst/>
                    </a:prstGeom>
                    <a:noFill/>
                    <a:ln w="9525">
                      <a:noFill/>
                      <a:headEnd/>
                      <a:tailEnd/>
                    </a:ln>
                  </pic:spPr>
                </pic:pic>
              </a:graphicData>
            </a:graphic>
          </wp:inline>
        </w:drawing>
      </w:r>
      <w:bookmarkEnd w:id="41"/>
    </w:p>
    <w:p>
      <w:pPr>
        <w:pStyle w:val="Heading6"/>
      </w:pPr>
      <w:bookmarkStart w:id="42" w:name="figure-4-resultants-for-low-medium-and-high-flow-rates-graphed-on-a-moody-diagram."/>
      <w:r>
        <w:t xml:space="preserve">Figure 4: Resultants for low, medium, and high flow rates graphed on a Moody diagram.</w:t>
      </w:r>
      <w:bookmarkEnd w:id="42"/>
    </w:p>
    <w:p>
      <w:pPr>
        <w:pStyle w:val="Heading2"/>
      </w:pPr>
      <w:bookmarkStart w:id="43" w:name="conclusion"/>
      <w:r>
        <w:t xml:space="preserve">Conclusion</w:t>
      </w:r>
      <w:bookmarkEnd w:id="43"/>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4" w:name="references"/>
      <w:r>
        <w:t xml:space="preserve">References</w:t>
      </w:r>
      <w:bookmarkEnd w:id="44"/>
    </w:p>
    <w:bookmarkStart w:id="49" w:name="refs"/>
    <w:bookmarkStart w:id="45" w:name="ref-davis"/>
    <w:p>
      <w:pPr>
        <w:pStyle w:val="Bibliography"/>
      </w:pPr>
      <w:r>
        <w:t xml:space="preserve">Davis. 2008.</w:t>
      </w:r>
      <w:r>
        <w:t xml:space="preserve"> </w:t>
      </w:r>
      <w:r>
        <w:rPr>
          <w:i/>
        </w:rPr>
        <w:t xml:space="preserve">Moody Diagram (Version 1.0)</w:t>
      </w:r>
      <w:r>
        <w:t xml:space="preserve">.</w:t>
      </w:r>
    </w:p>
    <w:bookmarkEnd w:id="45"/>
    <w:bookmarkStart w:id="46" w:name="ref-gerhart"/>
    <w:p>
      <w:pPr>
        <w:pStyle w:val="Bibliography"/>
      </w:pPr>
      <w:r>
        <w:t xml:space="preserve">Gerhart. 2013.</w:t>
      </w:r>
      <w:r>
        <w:t xml:space="preserve"> </w:t>
      </w:r>
      <w:r>
        <w:rPr>
          <w:i/>
        </w:rPr>
        <w:t xml:space="preserve">Dimensional Analysis of Pipe Flow</w:t>
      </w:r>
      <w:r>
        <w:t xml:space="preserve">. Wiley.</w:t>
      </w:r>
    </w:p>
    <w:bookmarkEnd w:id="46"/>
    <w:bookmarkStart w:id="47" w:name="ref-thompson"/>
    <w:p>
      <w:pPr>
        <w:pStyle w:val="Bibliography"/>
      </w:pPr>
      <w:r>
        <w:t xml:space="preserve">StatisticsHowTo. 2016.</w:t>
      </w:r>
      <w:r>
        <w:t xml:space="preserve"> </w:t>
      </w:r>
      <w:r>
        <w:rPr>
          <w:i/>
        </w:rPr>
        <w:t xml:space="preserve">Modified Thompson Tau Test</w:t>
      </w:r>
      <w:r>
        <w:t xml:space="preserve">.</w:t>
      </w:r>
    </w:p>
    <w:bookmarkEnd w:id="47"/>
    <w:bookmarkStart w:id="48" w:name="ref-toolbox"/>
    <w:p>
      <w:pPr>
        <w:pStyle w:val="Bibliography"/>
      </w:pPr>
      <w:r>
        <w:t xml:space="preserve">TheEngineeringToolbox. n.d.</w:t>
      </w:r>
      <w:r>
        <w:t xml:space="preserve"> </w:t>
      </w:r>
      <w:r>
        <w:rPr>
          <w:i/>
        </w:rPr>
        <w:t xml:space="preserve">Venilation Ducts - Roughness &amp; Surface Coefficients</w:t>
      </w:r>
      <w:r>
        <w:t xml:space="preserve">.</w:t>
      </w:r>
    </w:p>
    <w:bookmarkEnd w:id="48"/>
    <w:bookmarkEnd w:id="49"/>
    <w:sectPr w:rsidR="005A02A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2018-10-05T23:54:35Z</dcterms:created>
  <dcterms:modified xsi:type="dcterms:W3CDTF">2018-10-05T23:54:35Z</dcterms:modified>
</cp:coreProperties>
</file>