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jpg" ContentType="image/jpeg"/>
  <Override PartName="/word/media/rId36.jpg" ContentType="image/jpeg"/>
  <Override PartName="/word/media/rId43.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09</w:t>
      </w:r>
      <w:r>
        <w:t xml:space="preserve"> </w:t>
      </w:r>
      <w:r>
        <w:t xml:space="preserve">October</w:t>
      </w:r>
      <w:r>
        <w:t xml:space="preserve"> </w:t>
      </w:r>
      <w:r>
        <w:t xml:space="preserve">2018</w:t>
      </w:r>
    </w:p>
    <w:p>
      <w:pPr>
        <w:pStyle w:val="Heading2"/>
      </w:pPr>
      <w:bookmarkStart w:id="20" w:name="comments-on-reproducibility-ral"/>
      <w:r>
        <w:t xml:space="preserve">Comments on reproducibility (RAL)</w:t>
      </w:r>
      <w:bookmarkEnd w:id="20"/>
    </w:p>
    <w:p>
      <w:pPr>
        <w:pStyle w:val="Compact"/>
        <w:numPr>
          <w:numId w:val="1001"/>
          <w:ilvl w:val="0"/>
        </w:numPr>
      </w:pPr>
      <w:r>
        <w:t xml:space="preserve">We should have developed a new graph of some sort to meet all the expected criteria, but there were none in the original report.</w:t>
      </w:r>
    </w:p>
    <w:p>
      <w:pPr>
        <w:pStyle w:val="Compact"/>
        <w:numPr>
          <w:numId w:val="1001"/>
          <w:ilvl w:val="0"/>
        </w:numPr>
      </w:pPr>
      <w:r>
        <w:t xml:space="preserve">The R files are never sourced from the main Rmd report. This is a break in reproducibility continuity. The reader has to intuit that the scripts has to be run first.</w:t>
      </w:r>
    </w:p>
    <w:p>
      <w:pPr>
        <w:pStyle w:val="Compact"/>
        <w:numPr>
          <w:numId w:val="1001"/>
          <w:ilvl w:val="0"/>
        </w:numPr>
      </w:pPr>
      <w:r>
        <w:t xml:space="preserve">While most of the code in an R script is self-explantory, some commenting is expected to exlain the</w:t>
      </w:r>
      <w:r>
        <w:t xml:space="preserve"> </w:t>
      </w:r>
      <w:r>
        <w:t xml:space="preserve">“</w:t>
      </w:r>
      <w:r>
        <w:t xml:space="preserve">why</w:t>
      </w:r>
      <w:r>
        <w:t xml:space="preserve">”</w:t>
      </w:r>
      <w:r>
        <w:t xml:space="preserve"> </w:t>
      </w:r>
      <w:r>
        <w:t xml:space="preserve">of a code chunk even if the</w:t>
      </w:r>
      <w:r>
        <w:t xml:space="preserve"> </w:t>
      </w:r>
      <w:r>
        <w:t xml:space="preserve">“</w:t>
      </w:r>
      <w:r>
        <w:t xml:space="preserve">what</w:t>
      </w:r>
      <w:r>
        <w:t xml:space="preserve">”</w:t>
      </w:r>
      <w:r>
        <w:t xml:space="preserve"> </w:t>
      </w:r>
      <w:r>
        <w:t xml:space="preserve">is self-explantory.</w:t>
      </w:r>
    </w:p>
    <w:p>
      <w:pPr>
        <w:pStyle w:val="Compact"/>
        <w:numPr>
          <w:numId w:val="1001"/>
          <w:ilvl w:val="0"/>
        </w:numPr>
      </w:pPr>
      <w:r>
        <w:t xml:space="preserve">add a bullet</w:t>
      </w:r>
    </w:p>
    <w:p>
      <w:pPr>
        <w:pStyle w:val="Heading2"/>
      </w:pPr>
      <w:bookmarkStart w:id="21" w:name="rubric"/>
      <w:r>
        <w:t xml:space="preserve">Rubric</w:t>
      </w:r>
      <w:bookmarkEnd w:id="21"/>
    </w:p>
    <w:p>
      <w:pPr>
        <w:pStyle w:val="FirstParagraph"/>
      </w:pPr>
      <w:r>
        <w:t xml:space="preserve">I apply two types of criteria—</w:t>
      </w:r>
      <w:r>
        <w:t xml:space="preserve">“</w:t>
      </w:r>
      <w:r>
        <w:t xml:space="preserve">major</w:t>
      </w:r>
      <w:r>
        <w:t xml:space="preserve">”</w:t>
      </w:r>
      <w:r>
        <w:t xml:space="preserve"> </w:t>
      </w:r>
      <w:r>
        <w:t xml:space="preserve">and</w:t>
      </w:r>
      <w:r>
        <w:t xml:space="preserve"> </w:t>
      </w:r>
      <w:r>
        <w:t xml:space="preserve">“</w:t>
      </w:r>
      <w:r>
        <w:t xml:space="preserve">required tasks</w:t>
      </w:r>
      <w:r>
        <w:t xml:space="preserve">”</w:t>
      </w:r>
      <w:r>
        <w:t xml:space="preserve">—each with its own range of point values. You do not have to earn</w:t>
      </w:r>
      <w:r>
        <w:t xml:space="preserve"> </w:t>
      </w:r>
      <w:r>
        <w:t xml:space="preserve">“</w:t>
      </w:r>
      <w:r>
        <w:t xml:space="preserve">honors level</w:t>
      </w:r>
      <w:r>
        <w:t xml:space="preserve">”</w:t>
      </w:r>
      <w:r>
        <w:t xml:space="preserve"> </w:t>
      </w:r>
      <w:r>
        <w:t xml:space="preserve">in every dimension to earn an</w:t>
      </w:r>
      <w:r>
        <w:t xml:space="preserve"> </w:t>
      </w:r>
      <w:r>
        <w:t xml:space="preserve">“</w:t>
      </w:r>
      <w:r>
        <w:t xml:space="preserve">A</w:t>
      </w:r>
      <w:r>
        <w:t xml:space="preserve">”</w:t>
      </w:r>
      <w:r>
        <w:t xml:space="preserve">. The total point value possible is selected such that</w:t>
      </w:r>
      <w:r>
        <w:t xml:space="preserve"> </w:t>
      </w:r>
      <w:r>
        <w:t xml:space="preserve">“</w:t>
      </w:r>
      <w:r>
        <w:t xml:space="preserve">Thorough competence</w:t>
      </w:r>
      <w:r>
        <w:t xml:space="preserve">”</w:t>
      </w:r>
      <w:r>
        <w:t xml:space="preserve"> </w:t>
      </w:r>
      <w:r>
        <w:t xml:space="preserve">in all dimensions plus one</w:t>
      </w:r>
      <w:r>
        <w:t xml:space="preserve"> </w:t>
      </w:r>
      <w:r>
        <w:t xml:space="preserve">“</w:t>
      </w:r>
      <w:r>
        <w:t xml:space="preserve">Honors level</w:t>
      </w:r>
      <w:r>
        <w:t xml:space="preserve">”</w:t>
      </w:r>
      <w:r>
        <w:t xml:space="preserve"> </w:t>
      </w:r>
      <w:r>
        <w:t xml:space="preserve">will produce a score of about 92 %. In this report, the total is 125 points.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Major criteria</w:t>
            </w:r>
          </w:p>
        </w:tc>
        <w:tc>
          <w:tcPr>
            <w:tcBorders>
              <w:bottom w:val="single"/>
            </w:tcBorders>
            <w:vAlign w:val="bottom"/>
          </w:tcPr>
          <w:p>
            <w:pPr>
              <w:pStyle w:val="Compact"/>
              <w:jc w:val="right"/>
            </w:pPr>
            <w:r>
              <w:t xml:space="preserve">Required tasks</w:t>
            </w:r>
          </w:p>
        </w:tc>
      </w:tr>
      <w:tr>
        <w:tc>
          <w:p>
            <w:pPr>
              <w:pStyle w:val="Compact"/>
              <w:jc w:val="left"/>
            </w:pPr>
            <w:r>
              <w:t xml:space="preserve">Honors level</w:t>
            </w:r>
          </w:p>
        </w:tc>
        <w:tc>
          <w:p>
            <w:pPr>
              <w:pStyle w:val="Compact"/>
              <w:jc w:val="right"/>
            </w:pPr>
            <w:r>
              <w:t xml:space="preserve">16</w:t>
            </w:r>
          </w:p>
        </w:tc>
        <w:tc>
          <w:p>
            <w:pPr>
              <w:pStyle w:val="Compact"/>
              <w:jc w:val="right"/>
            </w:pPr>
            <w:r>
              <w:t xml:space="preserve">4</w:t>
            </w:r>
          </w:p>
        </w:tc>
      </w:tr>
      <w:tr>
        <w:tc>
          <w:p>
            <w:pPr>
              <w:pStyle w:val="Compact"/>
              <w:jc w:val="left"/>
            </w:pPr>
            <w:r>
              <w:t xml:space="preserve">Thorough competence</w:t>
            </w:r>
          </w:p>
        </w:tc>
        <w:tc>
          <w:p>
            <w:pPr>
              <w:pStyle w:val="Compact"/>
              <w:jc w:val="right"/>
            </w:pPr>
            <w:r>
              <w:t xml:space="preserve">12</w:t>
            </w:r>
          </w:p>
        </w:tc>
        <w:tc>
          <w:p>
            <w:pPr>
              <w:pStyle w:val="Compact"/>
              <w:jc w:val="right"/>
            </w:pPr>
            <w:r>
              <w:t xml:space="preserve">3</w:t>
            </w:r>
          </w:p>
        </w:tc>
      </w:tr>
      <w:tr>
        <w:tc>
          <w:p>
            <w:pPr>
              <w:pStyle w:val="Compact"/>
              <w:jc w:val="left"/>
            </w:pPr>
            <w:r>
              <w:t xml:space="preserve">Meets minimum expectations</w:t>
            </w:r>
          </w:p>
        </w:tc>
        <w:tc>
          <w:p>
            <w:pPr>
              <w:pStyle w:val="Compact"/>
              <w:jc w:val="right"/>
            </w:pPr>
            <w:r>
              <w:t xml:space="preserve">8</w:t>
            </w:r>
          </w:p>
        </w:tc>
        <w:tc>
          <w:p>
            <w:pPr>
              <w:pStyle w:val="Compact"/>
              <w:jc w:val="right"/>
            </w:pPr>
            <w:r>
              <w:t xml:space="preserve">2</w:t>
            </w:r>
          </w:p>
        </w:tc>
      </w:tr>
      <w:tr>
        <w:tc>
          <w:p>
            <w:pPr>
              <w:pStyle w:val="Compact"/>
              <w:jc w:val="left"/>
            </w:pPr>
            <w:r>
              <w:t xml:space="preserve">Fails to meet minimum expectations</w:t>
            </w:r>
          </w:p>
        </w:tc>
        <w:tc>
          <w:p>
            <w:pPr>
              <w:pStyle w:val="Compact"/>
              <w:jc w:val="right"/>
            </w:pPr>
            <w:r>
              <w:t xml:space="preserve">4</w:t>
            </w:r>
          </w:p>
        </w:tc>
        <w:tc>
          <w:p>
            <w:pPr>
              <w:pStyle w:val="Compact"/>
              <w:jc w:val="right"/>
            </w:pPr>
            <w:r>
              <w:t xml:space="preserve">1</w:t>
            </w:r>
          </w:p>
        </w:tc>
      </w:tr>
    </w:tbl>
    <w:p>
      <w:pPr>
        <w:pStyle w:val="BodyText"/>
      </w:pPr>
      <w:r>
        <w:t xml:space="preserve">Task criteria (4/3/2/1):</w:t>
      </w:r>
    </w:p>
    <w:p>
      <w:pPr>
        <w:pStyle w:val="Compact"/>
        <w:numPr>
          <w:numId w:val="1002"/>
          <w:ilvl w:val="0"/>
        </w:numPr>
      </w:pPr>
      <w:r>
        <w:t xml:space="preserve">4 import an image</w:t>
      </w:r>
    </w:p>
    <w:p>
      <w:pPr>
        <w:pStyle w:val="Compact"/>
        <w:numPr>
          <w:numId w:val="1002"/>
          <w:ilvl w:val="0"/>
        </w:numPr>
      </w:pPr>
      <w:r>
        <w:t xml:space="preserve">4 table or figure cross-referencing with captioner</w:t>
      </w:r>
    </w:p>
    <w:p>
      <w:pPr>
        <w:pStyle w:val="Compact"/>
        <w:numPr>
          <w:numId w:val="1002"/>
          <w:ilvl w:val="0"/>
        </w:numPr>
      </w:pPr>
      <w:r>
        <w:t xml:space="preserve">4 R code chunks are used appropriately</w:t>
      </w:r>
    </w:p>
    <w:p>
      <w:pPr>
        <w:pStyle w:val="Compact"/>
        <w:numPr>
          <w:numId w:val="1002"/>
          <w:ilvl w:val="0"/>
        </w:numPr>
      </w:pPr>
      <w:r>
        <w:t xml:space="preserve">4 a data table</w:t>
      </w:r>
    </w:p>
    <w:p>
      <w:pPr>
        <w:pStyle w:val="Compact"/>
        <w:numPr>
          <w:numId w:val="1002"/>
          <w:ilvl w:val="0"/>
        </w:numPr>
      </w:pPr>
      <w:r>
        <w:t xml:space="preserve">4 results graph (NA in this case)</w:t>
      </w:r>
    </w:p>
    <w:p>
      <w:pPr>
        <w:pStyle w:val="Compact"/>
        <w:numPr>
          <w:numId w:val="1002"/>
          <w:ilvl w:val="0"/>
        </w:numPr>
      </w:pPr>
      <w:r>
        <w:t xml:space="preserve">4 in-line R code used appropriately</w:t>
      </w:r>
    </w:p>
    <w:p>
      <w:pPr>
        <w:pStyle w:val="Compact"/>
        <w:numPr>
          <w:numId w:val="1002"/>
          <w:ilvl w:val="0"/>
        </w:numPr>
      </w:pPr>
      <w:r>
        <w:t xml:space="preserve">4 equation correctly typeset</w:t>
      </w:r>
    </w:p>
    <w:p>
      <w:pPr>
        <w:pStyle w:val="Compact"/>
        <w:numPr>
          <w:numId w:val="1002"/>
          <w:ilvl w:val="0"/>
        </w:numPr>
      </w:pPr>
      <w:r>
        <w:t xml:space="preserve">4 citation and reference</w:t>
      </w:r>
    </w:p>
    <w:p>
      <w:pPr>
        <w:pStyle w:val="FirstParagraph"/>
      </w:pPr>
      <w:r>
        <w:t xml:space="preserve">Major criteria (16/12/8/4)</w:t>
      </w:r>
    </w:p>
    <w:p>
      <w:pPr>
        <w:pStyle w:val="Compact"/>
        <w:numPr>
          <w:numId w:val="1003"/>
          <w:ilvl w:val="0"/>
        </w:numPr>
      </w:pPr>
      <w:r>
        <w:t xml:space="preserve">16 File management: Data, reports, resources, results, and scripts are saved in the recommended directory structure and are accessed by relevant read/write/source functions.</w:t>
      </w:r>
    </w:p>
    <w:p>
      <w:pPr>
        <w:pStyle w:val="Compact"/>
        <w:numPr>
          <w:numId w:val="1003"/>
          <w:ilvl w:val="0"/>
        </w:numPr>
      </w:pPr>
      <w:r>
        <w:t xml:space="preserve">16 Scripts: R scripts are short, take in one input, do one thing, write the result to file.</w:t>
      </w:r>
    </w:p>
    <w:p>
      <w:pPr>
        <w:pStyle w:val="Compact"/>
        <w:numPr>
          <w:numId w:val="1003"/>
          <w:ilvl w:val="0"/>
        </w:numPr>
      </w:pPr>
      <w:r>
        <w:t xml:space="preserve">4 Scripts: In reproducing your project, the reader has a clear and explicitly identified file name chain to follow if they wish to examine every step of the analysis.</w:t>
      </w:r>
    </w:p>
    <w:p>
      <w:pPr>
        <w:pStyle w:val="Compact"/>
        <w:numPr>
          <w:numId w:val="1003"/>
          <w:ilvl w:val="0"/>
        </w:numPr>
      </w:pPr>
      <w:r>
        <w:t xml:space="preserve">4 Scripts: Sufficient commentary (in Rmd scripts) or comments (in R scripts) to understand the logic of the analysis.</w:t>
      </w:r>
    </w:p>
    <w:p>
      <w:pPr>
        <w:pStyle w:val="Compact"/>
        <w:numPr>
          <w:numId w:val="1003"/>
          <w:ilvl w:val="0"/>
        </w:numPr>
      </w:pPr>
      <w:r>
        <w:t xml:space="preserve">16 Data are put into tidy form before analysis.</w:t>
      </w:r>
    </w:p>
    <w:p>
      <w:pPr>
        <w:pStyle w:val="Compact"/>
        <w:numPr>
          <w:numId w:val="1003"/>
          <w:ilvl w:val="0"/>
        </w:numPr>
      </w:pPr>
      <w:r>
        <w:t xml:space="preserve">16 Analysis: New data would require that we change necessary file names in one location per input file; everything after that would automatically update.</w:t>
      </w:r>
    </w:p>
    <w:p>
      <w:pPr>
        <w:pStyle w:val="Compact"/>
        <w:numPr>
          <w:numId w:val="1003"/>
          <w:ilvl w:val="0"/>
        </w:numPr>
      </w:pPr>
      <w:r>
        <w:t xml:space="preserve">16 Final report is docx-formatted using a reference styles document</w:t>
      </w:r>
    </w:p>
    <w:p>
      <w:pPr>
        <w:pStyle w:val="FirstParagraph"/>
      </w:pPr>
      <w:r>
        <w:t xml:space="preserve">Total: 120 / 125 = 96 %</w:t>
      </w:r>
    </w:p>
    <w:p>
      <w:pPr>
        <w:pStyle w:val="Heading5"/>
      </w:pPr>
      <w:bookmarkStart w:id="22" w:name="page-break"/>
      <w:r>
        <w:t xml:space="preserve">page break</w:t>
      </w:r>
      <w:bookmarkEnd w:id="22"/>
    </w:p>
    <w:p>
      <w:pPr>
        <w:pStyle w:val="Heading2"/>
      </w:pPr>
      <w:bookmarkStart w:id="23" w:name="introduction"/>
      <w:r>
        <w:t xml:space="preserve">Introduction</w:t>
      </w:r>
      <w:bookmarkEnd w:id="23"/>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4" w:name="apparatus"/>
      <w:r>
        <w:t xml:space="preserve">Apparatus</w:t>
      </w:r>
      <w:bookmarkEnd w:id="24"/>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6" w:name="section"/>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5"/>
                    <a:stretch>
                      <a:fillRect/>
                    </a:stretch>
                  </pic:blipFill>
                  <pic:spPr bwMode="auto">
                    <a:xfrm>
                      <a:off x="0" y="0"/>
                      <a:ext cx="4369869" cy="3147461"/>
                    </a:xfrm>
                    <a:prstGeom prst="rect">
                      <a:avLst/>
                    </a:prstGeom>
                    <a:noFill/>
                    <a:ln w="9525">
                      <a:noFill/>
                      <a:headEnd/>
                      <a:tailEnd/>
                    </a:ln>
                  </pic:spPr>
                </pic:pic>
              </a:graphicData>
            </a:graphic>
          </wp:inline>
        </w:drawing>
      </w:r>
      <w:bookmarkEnd w:id="26"/>
    </w:p>
    <w:p>
      <w:pPr>
        <w:pStyle w:val="Heading6"/>
      </w:pPr>
      <w:bookmarkStart w:id="27" w:name="figure-1-configuration-of-the-flow-bench."/>
      <w:r>
        <w:t xml:space="preserve">Figure 1: Configuration of the flow bench.</w:t>
      </w:r>
      <w:bookmarkEnd w:id="27"/>
    </w:p>
    <w:p>
      <w:pPr>
        <w:pStyle w:val="FirstParagraph"/>
      </w:pPr>
      <w:r>
        <w:t xml:space="preserve">Attached to the pipe are three manometers distanced at 20 cm apart for measuring fluid pressure at that point. Only two of the manometers are used.</w:t>
      </w:r>
    </w:p>
    <w:p>
      <w:pPr>
        <w:pStyle w:val="Heading5"/>
      </w:pPr>
      <w:bookmarkStart w:id="28" w:name="page-break-1"/>
      <w:r>
        <w:t xml:space="preserve">page break</w:t>
      </w:r>
      <w:bookmarkEnd w:id="28"/>
    </w:p>
    <w:p>
      <w:pPr>
        <w:pStyle w:val="Heading2"/>
      </w:pPr>
      <w:bookmarkStart w:id="29" w:name="modeling"/>
      <w:r>
        <w:t xml:space="preserve">Modeling</w:t>
      </w:r>
      <w:bookmarkEnd w:id="29"/>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31" w:name="section-1"/>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30"/>
                    <a:stretch>
                      <a:fillRect/>
                    </a:stretch>
                  </pic:blipFill>
                  <pic:spPr bwMode="auto">
                    <a:xfrm>
                      <a:off x="0" y="0"/>
                      <a:ext cx="3574472" cy="1546167"/>
                    </a:xfrm>
                    <a:prstGeom prst="rect">
                      <a:avLst/>
                    </a:prstGeom>
                    <a:noFill/>
                    <a:ln w="9525">
                      <a:noFill/>
                      <a:headEnd/>
                      <a:tailEnd/>
                    </a:ln>
                  </pic:spPr>
                </pic:pic>
              </a:graphicData>
            </a:graphic>
          </wp:inline>
        </w:drawing>
      </w:r>
      <w:bookmarkEnd w:id="31"/>
    </w:p>
    <w:p>
      <w:pPr>
        <w:pStyle w:val="Heading6"/>
      </w:pPr>
      <w:bookmarkStart w:id="32" w:name="figure-2-illustrating-the-variables-that-appear-in-the-data-reduction-equation."/>
      <w:r>
        <w:t xml:space="preserve">Figure 2: Illustrating the variables that appear in the data reduction equation.</w:t>
      </w:r>
      <w:bookmarkEnd w:id="32"/>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3" w:name="page-break-2"/>
      <w:r>
        <w:t xml:space="preserve">page break</w:t>
      </w:r>
      <w:bookmarkEnd w:id="33"/>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4" w:name="procedure"/>
      <w:r>
        <w:t xml:space="preserve">Procedure</w:t>
      </w:r>
      <w:bookmarkEnd w:id="34"/>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5" w:name="page-break-3"/>
      <w:r>
        <w:t xml:space="preserve">page break</w:t>
      </w:r>
      <w:bookmarkEnd w:id="35"/>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7" w:name="section-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6"/>
                    <a:stretch>
                      <a:fillRect/>
                    </a:stretch>
                  </pic:blipFill>
                  <pic:spPr bwMode="auto">
                    <a:xfrm>
                      <a:off x="0" y="0"/>
                      <a:ext cx="4006734" cy="2589414"/>
                    </a:xfrm>
                    <a:prstGeom prst="rect">
                      <a:avLst/>
                    </a:prstGeom>
                    <a:noFill/>
                    <a:ln w="9525">
                      <a:noFill/>
                      <a:headEnd/>
                      <a:tailEnd/>
                    </a:ln>
                  </pic:spPr>
                </pic:pic>
              </a:graphicData>
            </a:graphic>
          </wp:inline>
        </w:drawing>
      </w:r>
      <w:bookmarkEnd w:id="37"/>
    </w:p>
    <w:p>
      <w:pPr>
        <w:pStyle w:val="Heading6"/>
      </w:pPr>
      <w:bookmarkStart w:id="38" w:name="figure-3-elements-of-the-apparatus-important-for-the-procedure."/>
      <w:r>
        <w:t xml:space="preserve">Figure 3: Elements of the apparatus important for the procedure.</w:t>
      </w:r>
      <w:bookmarkEnd w:id="38"/>
    </w:p>
    <w:p>
      <w:pPr>
        <w:pStyle w:val="Heading2"/>
      </w:pPr>
      <w:bookmarkStart w:id="39" w:name="data"/>
      <w:r>
        <w:t xml:space="preserve">Data</w:t>
      </w:r>
      <w:bookmarkEnd w:id="39"/>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40" w:name="page-break-4"/>
      <w:r>
        <w:t xml:space="preserve">page break</w:t>
      </w:r>
      <w:bookmarkEnd w:id="40"/>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41" w:name="analysis"/>
      <w:r>
        <w:t xml:space="preserve">Analysis</w:t>
      </w:r>
      <w:bookmarkEnd w:id="41"/>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42" w:name="results"/>
      <w:r>
        <w:t xml:space="preserve">Results</w:t>
      </w:r>
      <w:bookmarkEnd w:id="42"/>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4" w:name="section-3"/>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3"/>
                    <a:stretch>
                      <a:fillRect/>
                    </a:stretch>
                  </pic:blipFill>
                  <pic:spPr bwMode="auto">
                    <a:xfrm>
                      <a:off x="0" y="0"/>
                      <a:ext cx="5265018" cy="7729086"/>
                    </a:xfrm>
                    <a:prstGeom prst="rect">
                      <a:avLst/>
                    </a:prstGeom>
                    <a:noFill/>
                    <a:ln w="9525">
                      <a:noFill/>
                      <a:headEnd/>
                      <a:tailEnd/>
                    </a:ln>
                  </pic:spPr>
                </pic:pic>
              </a:graphicData>
            </a:graphic>
          </wp:inline>
        </w:drawing>
      </w:r>
      <w:bookmarkEnd w:id="44"/>
    </w:p>
    <w:p>
      <w:pPr>
        <w:pStyle w:val="Heading6"/>
      </w:pPr>
      <w:bookmarkStart w:id="45" w:name="figure-4-resultants-for-low-medium-and-high-flow-rates-graphed-on-a-moody-diagram."/>
      <w:r>
        <w:t xml:space="preserve">Figure 4: Resultants for low, medium, and high flow rates graphed on a Moody diagram.</w:t>
      </w:r>
      <w:bookmarkEnd w:id="45"/>
    </w:p>
    <w:p>
      <w:pPr>
        <w:pStyle w:val="Heading2"/>
      </w:pPr>
      <w:bookmarkStart w:id="46" w:name="conclusion"/>
      <w:r>
        <w:t xml:space="preserve">Conclusion</w:t>
      </w:r>
      <w:bookmarkEnd w:id="46"/>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7" w:name="references"/>
      <w:r>
        <w:t xml:space="preserve">References</w:t>
      </w:r>
      <w:bookmarkEnd w:id="47"/>
    </w:p>
    <w:bookmarkStart w:id="52" w:name="refs"/>
    <w:bookmarkStart w:id="48" w:name="ref-davis"/>
    <w:p>
      <w:pPr>
        <w:pStyle w:val="Bibliography"/>
      </w:pPr>
      <w:r>
        <w:t xml:space="preserve">Davis. 2008.</w:t>
      </w:r>
      <w:r>
        <w:t xml:space="preserve"> </w:t>
      </w:r>
      <w:r>
        <w:rPr>
          <w:i/>
        </w:rPr>
        <w:t xml:space="preserve">Moody Diagram (Version 1.0)</w:t>
      </w:r>
      <w:r>
        <w:t xml:space="preserve">.</w:t>
      </w:r>
    </w:p>
    <w:bookmarkEnd w:id="48"/>
    <w:bookmarkStart w:id="49" w:name="ref-gerhart"/>
    <w:p>
      <w:pPr>
        <w:pStyle w:val="Bibliography"/>
      </w:pPr>
      <w:r>
        <w:t xml:space="preserve">Gerhart. 2013.</w:t>
      </w:r>
      <w:r>
        <w:t xml:space="preserve"> </w:t>
      </w:r>
      <w:r>
        <w:rPr>
          <w:i/>
        </w:rPr>
        <w:t xml:space="preserve">Dimensional Analysis of Pipe Flow</w:t>
      </w:r>
      <w:r>
        <w:t xml:space="preserve">. Wiley.</w:t>
      </w:r>
    </w:p>
    <w:bookmarkEnd w:id="49"/>
    <w:bookmarkStart w:id="50" w:name="ref-thompson"/>
    <w:p>
      <w:pPr>
        <w:pStyle w:val="Bibliography"/>
      </w:pPr>
      <w:r>
        <w:t xml:space="preserve">StatisticsHowTo. 2016.</w:t>
      </w:r>
      <w:r>
        <w:t xml:space="preserve"> </w:t>
      </w:r>
      <w:r>
        <w:rPr>
          <w:i/>
        </w:rPr>
        <w:t xml:space="preserve">Modified Thompson Tau Test</w:t>
      </w:r>
      <w:r>
        <w:t xml:space="preserve">.</w:t>
      </w:r>
    </w:p>
    <w:bookmarkEnd w:id="50"/>
    <w:bookmarkStart w:id="51" w:name="ref-toolbox"/>
    <w:p>
      <w:pPr>
        <w:pStyle w:val="Bibliography"/>
      </w:pPr>
      <w:r>
        <w:t xml:space="preserve">TheEngineeringToolbox. n.d.</w:t>
      </w:r>
      <w:r>
        <w:t xml:space="preserve"> </w:t>
      </w:r>
      <w:r>
        <w:rPr>
          <w:i/>
        </w:rPr>
        <w:t xml:space="preserve">Venilation Ducts - Roughness &amp; Surface Coefficients</w:t>
      </w:r>
      <w:r>
        <w:t xml:space="preserve">.</w:t>
      </w:r>
    </w:p>
    <w:bookmarkEnd w:id="51"/>
    <w:bookmarkEnd w:id="52"/>
    <w:sectPr w:rsidR="005A02A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jpg" /><Relationship Type="http://schemas.openxmlformats.org/officeDocument/2006/relationships/image" Id="rId36" Target="media/rId36.jp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keywords/>
  <dcterms:created xsi:type="dcterms:W3CDTF">2018-10-09T19:09:35Z</dcterms:created>
  <dcterms:modified xsi:type="dcterms:W3CDTF">2018-10-09T19:09:35Z</dcterms:modified>
</cp:coreProperties>
</file>