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alphaproteobacterial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How does selection differ when you look at it within vs between sequence-discrete populations? Does selection act differently on homologous genes shared by different populations? Which traits are under strong selection?</w:t>
      </w:r>
      <w:r>
        <w:t xml:space="preserve"> </w:t>
      </w:r>
      <w:r>
        <w:t xml:space="preserve">I plan to compare how calculations of selection across environments (very broad scale) compares with calculations of selection between and within (very fine scale) sequence-discrete populations in the same environment. I will search for metrics of selection which are appropriate for my dataset and be comparable across scale. Once these metrics are calculated, I will identify homologous genes in different populations and search for patterns of selection among the homologs. I expect that some genes may be under strong selection, regardless of the population they are in. Finding such genes should identify traits under strong selection in each lake.</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 Is there an ecological or physical barrier to recombination between these two lakes?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shared genome content),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search for patterns among the shared or absent genes that may be explained by the different environments of the two lakes. I will also look for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Compact"/>
        <w:numPr>
          <w:numId w:val="1001"/>
          <w:ilvl w:val="0"/>
        </w:numPr>
      </w:pPr>
      <w:r>
        <w:t xml:space="preserve">MDTP Steering Committee - 2015-2016</w:t>
      </w:r>
    </w:p>
    <w:p>
      <w:pPr>
        <w:pStyle w:val="Heading3"/>
      </w:pPr>
      <w:bookmarkStart w:id="34" w:name="awards"/>
      <w:bookmarkEnd w:id="34"/>
      <w:r>
        <w:t xml:space="preserve">Awards</w:t>
      </w:r>
    </w:p>
    <w:p>
      <w:pPr>
        <w:pStyle w:val="Compact"/>
        <w:numPr>
          <w:numId w:val="1003"/>
          <w:ilvl w:val="0"/>
        </w:numPr>
      </w:pPr>
      <w:r>
        <w:t xml:space="preserve">UW-Madison Dept. of Bacteriology Betley-Allen Fellowship - 2016-2017</w:t>
      </w:r>
    </w:p>
    <w:p>
      <w:pPr>
        <w:pStyle w:val="Compact"/>
        <w:numPr>
          <w:numId w:val="1003"/>
          <w:ilvl w:val="0"/>
        </w:numPr>
      </w:pPr>
      <w:r>
        <w:t xml:space="preserve">UW-Madison Graduate School Travel Award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97b8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db77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