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(reference)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I've also worked on the population dynamics of many dominant freshwater bacteria, focusing on two groups (which represent roughly family level) for which we have multiple single-amplified genomes (SAGs) and sequence-discrete populations. Genetically distinct populations within tribes (roughly analogous to species level) of the acI actinobacterial lineage living in the same lake had different seasonal abundance patterns, suggesting these populations were also ecologically distinct. In contrast, sympatric LD12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Does selection effect homologs of the same gene differently? What traits are under strong selection?</w:t>
      </w:r>
      <w:r>
        <w:t xml:space="preserve"> </w:t>
      </w:r>
      <w:r>
        <w:t xml:space="preserve">First I will identify the homologous genes in the reference MAGs and SAGs using BLAST and clustering. Then I will mapping the metagenomic reads from the same lake back the reference genomes to find SOMETHING the sequence-discrete populations. For each of these populations and their genes, I will calculate the relative abundance, call single nucleotide variants, and calculate the selection.</w:t>
      </w:r>
      <w:r>
        <w:t xml:space="preserve"> </w:t>
      </w:r>
    </w:p>
    <w:p>
      <w:pPr>
        <w:pStyle w:val="BodyText"/>
      </w:pPr>
      <w:r>
        <w:rPr>
          <w:i/>
        </w:rPr>
        <w:t xml:space="preserve">Are there related sequence-discrete populations in TB and CB? How closely related are they? Do they share a common gene pool?</w:t>
      </w:r>
      <w:r>
        <w:t xml:space="preserve"> </w:t>
      </w:r>
      <w:r>
        <w:t xml:space="preserve">We now have MAG's from Crystal Bog (CB), which is of similar location and trophic status to Trout Bog (TB). With these genomes, I will ask if there are related populations and how similar they are at the genome scale. I will also investigate if these populations are really separated or if they share a common genepool. I will compare the reference genomes and map reads from the opposite source. From the acI SAGs we saw that reference genomes collected from different lakes do not recruit metagenomic reads with high ANI.</w:t>
      </w:r>
    </w:p>
    <w:p>
      <w:pPr>
        <w:pStyle w:val="Heading3"/>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5">
        <w:r>
          <w:rPr>
            <w:rStyle w:val="Hyperlink"/>
          </w:rPr>
          <w:t xml:space="preserve">http://dx.doi.org/10.1038/ismej.2015.241</w:t>
        </w:r>
      </w:hyperlink>
      <w:r>
        <w:t xml:space="preserve"> </w:t>
      </w:r>
      <w:r>
        <w:rPr>
          <w:b/>
        </w:rPr>
        <w:t xml:space="preserve">featured article</w:t>
      </w:r>
      <w:r>
        <w:br w:type="textWrapping"/>
      </w: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6">
        <w:r>
          <w:rPr>
            <w:rStyle w:val="Hyperlink"/>
          </w:rPr>
          <w:t xml:space="preserve">http://dx.doi.org/10.1101/080168</w:t>
        </w:r>
      </w:hyperlink>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08c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b80e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x.doi.org/10.1038/ismej.2015.241" TargetMode="External" /><Relationship Type="http://schemas.openxmlformats.org/officeDocument/2006/relationships/hyperlink" Id="rId26"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038/ismej.2015.241" TargetMode="External" /><Relationship Type="http://schemas.openxmlformats.org/officeDocument/2006/relationships/hyperlink" Id="rId26"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