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4B5CA" w14:textId="68ACD861" w:rsidR="00895C71" w:rsidRDefault="00A3241E">
      <w:r>
        <w:t xml:space="preserve"> Logic – Do the models – support the evolution of the conserved aspects of </w:t>
      </w:r>
      <w:proofErr w:type="spellStart"/>
      <w:r>
        <w:t>heterochiasmy</w:t>
      </w:r>
      <w:proofErr w:type="spellEnd"/>
      <w:r>
        <w:t xml:space="preserve"> identified in this study </w:t>
      </w:r>
      <w:proofErr w:type="spellStart"/>
      <w:r>
        <w:t>i</w:t>
      </w:r>
      <w:proofErr w:type="spellEnd"/>
      <w:r>
        <w:t>) typical recombination landscape, ii) chromatin compaction and interferences differences and iii) difference in the variance across cells.</w:t>
      </w:r>
    </w:p>
    <w:tbl>
      <w:tblPr>
        <w:tblpPr w:leftFromText="180" w:rightFromText="180" w:vertAnchor="page" w:horzAnchor="margin" w:tblpY="2521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1"/>
        <w:gridCol w:w="2249"/>
        <w:gridCol w:w="2971"/>
        <w:gridCol w:w="2521"/>
        <w:gridCol w:w="2598"/>
      </w:tblGrid>
      <w:tr w:rsidR="00A3241E" w:rsidRPr="00895C71" w14:paraId="7E20DEAD" w14:textId="77777777" w:rsidTr="00470C54">
        <w:trPr>
          <w:trHeight w:val="907"/>
        </w:trPr>
        <w:tc>
          <w:tcPr>
            <w:tcW w:w="10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18645" w14:textId="77777777" w:rsidR="00A3241E" w:rsidRPr="00895C71" w:rsidRDefault="00A3241E" w:rsidP="00A3241E">
            <w:r w:rsidRPr="00895C71">
              <w:rPr>
                <w:b/>
                <w:bCs/>
              </w:rPr>
              <w:t>Model name</w:t>
            </w:r>
          </w:p>
        </w:tc>
        <w:tc>
          <w:tcPr>
            <w:tcW w:w="86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8D7B6" w14:textId="77777777" w:rsidR="00A3241E" w:rsidRPr="00895C71" w:rsidRDefault="00A3241E" w:rsidP="00A3241E">
            <w:r w:rsidRPr="00895C71">
              <w:rPr>
                <w:b/>
                <w:bCs/>
              </w:rPr>
              <w:t>References</w:t>
            </w:r>
          </w:p>
        </w:tc>
        <w:tc>
          <w:tcPr>
            <w:tcW w:w="114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8485E" w14:textId="77777777" w:rsidR="00A3241E" w:rsidRPr="00895C71" w:rsidRDefault="00A3241E" w:rsidP="00A3241E">
            <w:r w:rsidRPr="00895C71">
              <w:rPr>
                <w:b/>
                <w:bCs/>
              </w:rPr>
              <w:t>Typical Landscape</w:t>
            </w:r>
          </w:p>
        </w:tc>
        <w:tc>
          <w:tcPr>
            <w:tcW w:w="97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D2386" w14:textId="77777777" w:rsidR="00A3241E" w:rsidRPr="00895C71" w:rsidRDefault="00A3241E" w:rsidP="00A3241E">
            <w:r>
              <w:rPr>
                <w:b/>
                <w:bCs/>
              </w:rPr>
              <w:t xml:space="preserve">Chromatin </w:t>
            </w:r>
            <w:r w:rsidRPr="00895C71">
              <w:rPr>
                <w:b/>
                <w:bCs/>
              </w:rPr>
              <w:t>compaction</w:t>
            </w:r>
            <w:r>
              <w:rPr>
                <w:b/>
                <w:bCs/>
              </w:rPr>
              <w:t xml:space="preserve"> and interference strength</w:t>
            </w:r>
          </w:p>
        </w:tc>
        <w:tc>
          <w:tcPr>
            <w:tcW w:w="10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8C2AB" w14:textId="77777777" w:rsidR="00A3241E" w:rsidRPr="00895C71" w:rsidRDefault="00A3241E" w:rsidP="00A3241E">
            <w:r>
              <w:rPr>
                <w:b/>
                <w:bCs/>
              </w:rPr>
              <w:t>W</w:t>
            </w:r>
            <w:r w:rsidRPr="00895C71">
              <w:rPr>
                <w:b/>
                <w:bCs/>
              </w:rPr>
              <w:t>ithin mouse variance for mlh1</w:t>
            </w:r>
          </w:p>
        </w:tc>
      </w:tr>
      <w:tr w:rsidR="00A3241E" w:rsidRPr="00895C71" w14:paraId="0FF8ED3D" w14:textId="77777777" w:rsidTr="00470C54">
        <w:trPr>
          <w:trHeight w:val="907"/>
        </w:trPr>
        <w:tc>
          <w:tcPr>
            <w:tcW w:w="10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B9AC4" w14:textId="77777777" w:rsidR="00A3241E" w:rsidRPr="00895C71" w:rsidRDefault="00A3241E" w:rsidP="00A3241E">
            <w:r w:rsidRPr="00895C71">
              <w:t>Gamete selection</w:t>
            </w:r>
          </w:p>
          <w:p w14:paraId="2E3D3E3A" w14:textId="04C04C44" w:rsidR="00185C4A" w:rsidRPr="00895C71" w:rsidRDefault="00A3241E" w:rsidP="00A3241E">
            <w:r w:rsidRPr="00895C71">
              <w:t>(reduction principle</w:t>
            </w:r>
            <w:r w:rsidR="00185C4A">
              <w:t xml:space="preserve"> / stronger selection reduces RR)</w:t>
            </w:r>
          </w:p>
        </w:tc>
        <w:tc>
          <w:tcPr>
            <w:tcW w:w="86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8F58F" w14:textId="0FFB8B8A" w:rsidR="00A3241E" w:rsidRPr="00895C71" w:rsidRDefault="00A3241E" w:rsidP="00A3241E">
            <w:pPr>
              <w:rPr>
                <w:sz w:val="22"/>
                <w:szCs w:val="22"/>
              </w:rPr>
            </w:pPr>
            <w:proofErr w:type="spellStart"/>
            <w:r w:rsidRPr="00895C71">
              <w:rPr>
                <w:sz w:val="22"/>
                <w:szCs w:val="22"/>
              </w:rPr>
              <w:t>Lenormand</w:t>
            </w:r>
            <w:proofErr w:type="spellEnd"/>
            <w:r w:rsidRPr="00895C71">
              <w:rPr>
                <w:sz w:val="22"/>
                <w:szCs w:val="22"/>
              </w:rPr>
              <w:t xml:space="preserve"> and </w:t>
            </w:r>
            <w:proofErr w:type="spellStart"/>
            <w:r w:rsidRPr="00895C71">
              <w:rPr>
                <w:sz w:val="22"/>
                <w:szCs w:val="22"/>
              </w:rPr>
              <w:t>Duthiel</w:t>
            </w:r>
            <w:proofErr w:type="spellEnd"/>
            <w:r w:rsidRPr="00895C71">
              <w:rPr>
                <w:sz w:val="22"/>
                <w:szCs w:val="22"/>
              </w:rPr>
              <w:t xml:space="preserve"> 2005</w:t>
            </w:r>
            <w:r w:rsidR="00470C54">
              <w:rPr>
                <w:sz w:val="22"/>
                <w:szCs w:val="22"/>
              </w:rPr>
              <w:t>,</w:t>
            </w:r>
          </w:p>
          <w:p w14:paraId="67415B85" w14:textId="77777777" w:rsidR="00A3241E" w:rsidRPr="00895C71" w:rsidRDefault="00A3241E" w:rsidP="00A3241E">
            <w:pPr>
              <w:rPr>
                <w:sz w:val="22"/>
                <w:szCs w:val="22"/>
              </w:rPr>
            </w:pPr>
            <w:proofErr w:type="spellStart"/>
            <w:r w:rsidRPr="00895C71">
              <w:rPr>
                <w:sz w:val="22"/>
                <w:szCs w:val="22"/>
              </w:rPr>
              <w:t>Trivers</w:t>
            </w:r>
            <w:proofErr w:type="spellEnd"/>
            <w:r w:rsidRPr="00895C71">
              <w:rPr>
                <w:sz w:val="22"/>
                <w:szCs w:val="22"/>
              </w:rPr>
              <w:t xml:space="preserve"> 1988</w:t>
            </w:r>
          </w:p>
        </w:tc>
        <w:tc>
          <w:tcPr>
            <w:tcW w:w="114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60DECC" w14:textId="77777777" w:rsidR="00A3241E" w:rsidRDefault="00A3241E" w:rsidP="00A3241E">
            <w:pPr>
              <w:jc w:val="center"/>
            </w:pPr>
            <w:r w:rsidRPr="00895C71">
              <w:t>?</w:t>
            </w:r>
          </w:p>
          <w:p w14:paraId="0C501E04" w14:textId="77777777" w:rsidR="00A3241E" w:rsidRPr="00895C71" w:rsidRDefault="00A3241E" w:rsidP="00A3241E">
            <w:pPr>
              <w:jc w:val="center"/>
            </w:pPr>
            <w:r>
              <w:t>(not sure how to distinguish from SACE predictions)</w:t>
            </w:r>
          </w:p>
        </w:tc>
        <w:tc>
          <w:tcPr>
            <w:tcW w:w="97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EABBD" w14:textId="456F5986" w:rsidR="00A3241E" w:rsidRDefault="00185C4A" w:rsidP="00A3241E">
            <w:pPr>
              <w:jc w:val="center"/>
            </w:pPr>
            <w:r>
              <w:t>Yes</w:t>
            </w:r>
          </w:p>
          <w:p w14:paraId="789C3420" w14:textId="745D61EC" w:rsidR="00185C4A" w:rsidRPr="00895C71" w:rsidRDefault="00185C4A" w:rsidP="00A3241E">
            <w:pPr>
              <w:jc w:val="center"/>
            </w:pPr>
            <w:r>
              <w:t>(stronger interference results in fewer Cos)</w:t>
            </w:r>
          </w:p>
        </w:tc>
        <w:tc>
          <w:tcPr>
            <w:tcW w:w="10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8A411" w14:textId="77777777" w:rsidR="00A3241E" w:rsidRDefault="00A3241E" w:rsidP="00A3241E">
            <w:pPr>
              <w:jc w:val="center"/>
            </w:pPr>
            <w:r w:rsidRPr="00895C71">
              <w:t>Yes</w:t>
            </w:r>
          </w:p>
          <w:p w14:paraId="640ADE24" w14:textId="77777777" w:rsidR="00A3241E" w:rsidRPr="00895C71" w:rsidRDefault="00A3241E" w:rsidP="00A3241E">
            <w:pPr>
              <w:jc w:val="center"/>
            </w:pPr>
            <w:r>
              <w:t>(strong selection in males reduces between cell variance)</w:t>
            </w:r>
          </w:p>
        </w:tc>
      </w:tr>
      <w:tr w:rsidR="00A3241E" w:rsidRPr="00895C71" w14:paraId="28384C32" w14:textId="77777777" w:rsidTr="00470C54">
        <w:trPr>
          <w:trHeight w:val="907"/>
        </w:trPr>
        <w:tc>
          <w:tcPr>
            <w:tcW w:w="10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1EB9B5" w14:textId="77777777" w:rsidR="00A3241E" w:rsidRPr="00185C4A" w:rsidRDefault="00A3241E" w:rsidP="00A3241E">
            <w:r w:rsidRPr="00895C71">
              <w:t>S</w:t>
            </w:r>
            <w:r w:rsidR="00185C4A" w:rsidRPr="00185C4A">
              <w:t>.</w:t>
            </w:r>
            <w:r w:rsidRPr="00895C71">
              <w:t>A</w:t>
            </w:r>
            <w:r w:rsidR="00185C4A" w:rsidRPr="00185C4A">
              <w:t>.</w:t>
            </w:r>
            <w:r w:rsidRPr="00895C71">
              <w:t>C</w:t>
            </w:r>
            <w:r w:rsidR="00185C4A" w:rsidRPr="00185C4A">
              <w:t>.</w:t>
            </w:r>
            <w:r w:rsidRPr="00895C71">
              <w:t>E</w:t>
            </w:r>
            <w:r w:rsidR="00185C4A" w:rsidRPr="00185C4A">
              <w:t>.</w:t>
            </w:r>
          </w:p>
          <w:p w14:paraId="5BB1EEB0" w14:textId="38BCF493" w:rsidR="00185C4A" w:rsidRPr="00895C71" w:rsidRDefault="00185C4A" w:rsidP="00A3241E">
            <w:r w:rsidRPr="00185C4A">
              <w:t>(how is this model different than reduction)</w:t>
            </w:r>
          </w:p>
        </w:tc>
        <w:tc>
          <w:tcPr>
            <w:tcW w:w="86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1EB240" w14:textId="77777777" w:rsidR="00A3241E" w:rsidRPr="00895C71" w:rsidRDefault="00A3241E" w:rsidP="00A3241E">
            <w:pPr>
              <w:rPr>
                <w:sz w:val="22"/>
                <w:szCs w:val="22"/>
              </w:rPr>
            </w:pPr>
            <w:proofErr w:type="spellStart"/>
            <w:r w:rsidRPr="00895C71">
              <w:rPr>
                <w:sz w:val="22"/>
                <w:szCs w:val="22"/>
              </w:rPr>
              <w:t>Sardell</w:t>
            </w:r>
            <w:proofErr w:type="spellEnd"/>
            <w:r w:rsidRPr="00895C71">
              <w:rPr>
                <w:sz w:val="22"/>
                <w:szCs w:val="22"/>
              </w:rPr>
              <w:t xml:space="preserve"> Kirkpatrick 2019</w:t>
            </w:r>
          </w:p>
        </w:tc>
        <w:tc>
          <w:tcPr>
            <w:tcW w:w="114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912B3" w14:textId="77777777" w:rsidR="00A3241E" w:rsidRDefault="00A3241E" w:rsidP="00A3241E">
            <w:pPr>
              <w:jc w:val="center"/>
            </w:pPr>
            <w:r w:rsidRPr="00895C71">
              <w:t>Yes</w:t>
            </w:r>
          </w:p>
          <w:p w14:paraId="493F2183" w14:textId="77777777" w:rsidR="00A3241E" w:rsidRPr="00895C71" w:rsidRDefault="00A3241E" w:rsidP="00A3241E">
            <w:pPr>
              <w:jc w:val="center"/>
            </w:pPr>
            <w:r>
              <w:t>(male large blocks result with strong telomere bias)</w:t>
            </w:r>
          </w:p>
        </w:tc>
        <w:tc>
          <w:tcPr>
            <w:tcW w:w="97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5792E" w14:textId="77777777" w:rsidR="00A3241E" w:rsidRDefault="00A3241E" w:rsidP="00A3241E">
            <w:pPr>
              <w:jc w:val="center"/>
            </w:pPr>
            <w:r>
              <w:t>Yes</w:t>
            </w:r>
          </w:p>
          <w:p w14:paraId="0536A458" w14:textId="77777777" w:rsidR="00A3241E" w:rsidRPr="00895C71" w:rsidRDefault="00A3241E" w:rsidP="00A3241E">
            <w:pPr>
              <w:jc w:val="center"/>
            </w:pPr>
            <w:r>
              <w:t>(stronger interference results in larger blocks for males)</w:t>
            </w:r>
          </w:p>
        </w:tc>
        <w:tc>
          <w:tcPr>
            <w:tcW w:w="10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B7426" w14:textId="77777777" w:rsidR="00A3241E" w:rsidRDefault="00A3241E" w:rsidP="00A3241E">
            <w:pPr>
              <w:jc w:val="center"/>
            </w:pPr>
            <w:r w:rsidRPr="00895C71">
              <w:t>Maybe</w:t>
            </w:r>
          </w:p>
          <w:p w14:paraId="15B3A7C7" w14:textId="77777777" w:rsidR="00A3241E" w:rsidRPr="00895C71" w:rsidRDefault="00A3241E" w:rsidP="00A3241E">
            <w:pPr>
              <w:jc w:val="center"/>
            </w:pPr>
            <w:r>
              <w:t>(strong selection in males reduces between cell variance)</w:t>
            </w:r>
          </w:p>
        </w:tc>
      </w:tr>
      <w:tr w:rsidR="00A3241E" w:rsidRPr="00895C71" w14:paraId="055B8AE4" w14:textId="77777777" w:rsidTr="00470C54">
        <w:trPr>
          <w:trHeight w:val="2027"/>
        </w:trPr>
        <w:tc>
          <w:tcPr>
            <w:tcW w:w="10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FD7E8" w14:textId="77777777" w:rsidR="00A3241E" w:rsidRPr="00895C71" w:rsidRDefault="00A3241E" w:rsidP="00A3241E">
            <w:r w:rsidRPr="00895C71">
              <w:t>Two locus</w:t>
            </w:r>
            <w:r>
              <w:t xml:space="preserve"> </w:t>
            </w:r>
            <w:proofErr w:type="gramStart"/>
            <w:r>
              <w:t>modifier</w:t>
            </w:r>
            <w:proofErr w:type="gramEnd"/>
          </w:p>
          <w:p w14:paraId="4A9AAC88" w14:textId="2F72BCAA" w:rsidR="00A3241E" w:rsidRPr="00895C71" w:rsidRDefault="00A3241E" w:rsidP="00A3241E">
            <w:r w:rsidRPr="00895C71">
              <w:t xml:space="preserve">(protection against </w:t>
            </w:r>
            <w:r w:rsidR="00185C4A">
              <w:t xml:space="preserve">meiotic </w:t>
            </w:r>
            <w:r w:rsidRPr="00895C71">
              <w:t>drive systems)</w:t>
            </w:r>
          </w:p>
        </w:tc>
        <w:tc>
          <w:tcPr>
            <w:tcW w:w="86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9C1A9" w14:textId="77777777" w:rsidR="00A3241E" w:rsidRPr="00895C71" w:rsidRDefault="00A3241E" w:rsidP="00A3241E">
            <w:pPr>
              <w:rPr>
                <w:sz w:val="22"/>
                <w:szCs w:val="22"/>
              </w:rPr>
            </w:pPr>
            <w:proofErr w:type="spellStart"/>
            <w:r w:rsidRPr="00895C71">
              <w:rPr>
                <w:sz w:val="22"/>
                <w:szCs w:val="22"/>
              </w:rPr>
              <w:t>Brandvain</w:t>
            </w:r>
            <w:proofErr w:type="spellEnd"/>
            <w:r w:rsidRPr="00895C71">
              <w:rPr>
                <w:sz w:val="22"/>
                <w:szCs w:val="22"/>
              </w:rPr>
              <w:t xml:space="preserve"> Coop 2012</w:t>
            </w:r>
          </w:p>
        </w:tc>
        <w:tc>
          <w:tcPr>
            <w:tcW w:w="114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74B94" w14:textId="2027D91F" w:rsidR="00A3241E" w:rsidRDefault="00A3241E" w:rsidP="00A3241E">
            <w:pPr>
              <w:jc w:val="center"/>
            </w:pPr>
            <w:r w:rsidRPr="00895C71">
              <w:t>Yes</w:t>
            </w:r>
          </w:p>
          <w:p w14:paraId="0A4B6F25" w14:textId="77777777" w:rsidR="00A3241E" w:rsidRPr="00895C71" w:rsidRDefault="00A3241E" w:rsidP="00A3241E">
            <w:pPr>
              <w:jc w:val="center"/>
            </w:pPr>
            <w:r>
              <w:t>F</w:t>
            </w:r>
            <w:r w:rsidRPr="00895C71">
              <w:t>emales generally higher RR and COs closer to centromeres</w:t>
            </w:r>
            <w:r>
              <w:t>.</w:t>
            </w:r>
          </w:p>
        </w:tc>
        <w:tc>
          <w:tcPr>
            <w:tcW w:w="97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39405" w14:textId="77777777" w:rsidR="00A3241E" w:rsidRDefault="00A3241E" w:rsidP="00A3241E">
            <w:pPr>
              <w:jc w:val="center"/>
            </w:pPr>
            <w:r>
              <w:t>Yes</w:t>
            </w:r>
          </w:p>
          <w:p w14:paraId="3D82326C" w14:textId="59E9CB5B" w:rsidR="00A3241E" w:rsidRPr="00895C71" w:rsidRDefault="00A3241E" w:rsidP="00185C4A">
            <w:pPr>
              <w:jc w:val="center"/>
            </w:pPr>
            <w:r>
              <w:t xml:space="preserve">(prediction of </w:t>
            </w:r>
            <w:r w:rsidR="00185C4A">
              <w:t>weaker interference in females</w:t>
            </w:r>
            <w:r>
              <w:t>)</w:t>
            </w:r>
          </w:p>
        </w:tc>
        <w:tc>
          <w:tcPr>
            <w:tcW w:w="10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53253" w14:textId="33C14FD5" w:rsidR="00A3241E" w:rsidRDefault="00A3241E" w:rsidP="00A3241E">
            <w:pPr>
              <w:jc w:val="center"/>
            </w:pPr>
            <w:r>
              <w:t>Yes</w:t>
            </w:r>
          </w:p>
          <w:p w14:paraId="7BF872DD" w14:textId="77777777" w:rsidR="00A3241E" w:rsidRPr="00895C71" w:rsidRDefault="00A3241E" w:rsidP="00A3241E">
            <w:pPr>
              <w:jc w:val="center"/>
            </w:pPr>
            <w:r>
              <w:t>More variance between oocytes to reduce effectiveness of centromere drive.</w:t>
            </w:r>
          </w:p>
        </w:tc>
      </w:tr>
      <w:tr w:rsidR="00A3241E" w:rsidRPr="00895C71" w14:paraId="24F9B397" w14:textId="77777777" w:rsidTr="00470C54">
        <w:trPr>
          <w:trHeight w:val="390"/>
        </w:trPr>
        <w:tc>
          <w:tcPr>
            <w:tcW w:w="10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BF105" w14:textId="77777777" w:rsidR="00A3241E" w:rsidRDefault="00A3241E" w:rsidP="00A3241E">
            <w:r w:rsidRPr="00895C71">
              <w:t>Spindle differences</w:t>
            </w:r>
            <w:r>
              <w:t xml:space="preserve"> (centrosome), </w:t>
            </w:r>
          </w:p>
          <w:p w14:paraId="2D8A1C64" w14:textId="77777777" w:rsidR="00A3241E" w:rsidRDefault="00A3241E" w:rsidP="00A3241E">
            <w:r w:rsidRPr="00895C71">
              <w:t xml:space="preserve">SAC </w:t>
            </w:r>
            <w:r>
              <w:t>stronger in males:</w:t>
            </w:r>
          </w:p>
          <w:p w14:paraId="266FFE6C" w14:textId="77777777" w:rsidR="00A3241E" w:rsidRDefault="00A3241E" w:rsidP="00A3241E">
            <w:r>
              <w:t>(directional selection)</w:t>
            </w:r>
          </w:p>
          <w:p w14:paraId="318043C3" w14:textId="77777777" w:rsidR="00A3241E" w:rsidRDefault="00A3241E" w:rsidP="00A3241E">
            <w:r>
              <w:t>Leaky egg SAC:</w:t>
            </w:r>
          </w:p>
          <w:p w14:paraId="20B4511B" w14:textId="77777777" w:rsidR="00A3241E" w:rsidRPr="00895C71" w:rsidRDefault="00A3241E" w:rsidP="00A3241E">
            <w:r w:rsidRPr="00895C71">
              <w:t>(</w:t>
            </w:r>
            <w:r>
              <w:t>relaxed selection)</w:t>
            </w:r>
          </w:p>
        </w:tc>
        <w:tc>
          <w:tcPr>
            <w:tcW w:w="86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B8FC0" w14:textId="3214D15E" w:rsidR="00470C54" w:rsidRDefault="00A3241E" w:rsidP="00470C54">
            <w:pPr>
              <w:rPr>
                <w:sz w:val="22"/>
                <w:szCs w:val="22"/>
              </w:rPr>
            </w:pPr>
            <w:r w:rsidRPr="00895C71">
              <w:rPr>
                <w:sz w:val="22"/>
                <w:szCs w:val="22"/>
              </w:rPr>
              <w:t>So et al 2019</w:t>
            </w:r>
            <w:r w:rsidR="00470C54">
              <w:rPr>
                <w:sz w:val="22"/>
                <w:szCs w:val="22"/>
              </w:rPr>
              <w:t xml:space="preserve">, </w:t>
            </w:r>
            <w:r w:rsidRPr="00895C71">
              <w:rPr>
                <w:sz w:val="22"/>
                <w:szCs w:val="22"/>
              </w:rPr>
              <w:t xml:space="preserve">Ross and </w:t>
            </w:r>
            <w:proofErr w:type="spellStart"/>
            <w:r w:rsidRPr="00895C71">
              <w:rPr>
                <w:sz w:val="22"/>
                <w:szCs w:val="22"/>
              </w:rPr>
              <w:t>Normark</w:t>
            </w:r>
            <w:proofErr w:type="spellEnd"/>
            <w:r w:rsidRPr="00895C71">
              <w:rPr>
                <w:sz w:val="22"/>
                <w:szCs w:val="22"/>
              </w:rPr>
              <w:t xml:space="preserve"> 2015</w:t>
            </w:r>
            <w:r w:rsidR="00470C54">
              <w:rPr>
                <w:sz w:val="22"/>
                <w:szCs w:val="22"/>
              </w:rPr>
              <w:t>,</w:t>
            </w:r>
          </w:p>
          <w:p w14:paraId="2A1B505B" w14:textId="74FF7D6C" w:rsidR="00A3241E" w:rsidRPr="00895C71" w:rsidRDefault="00A3241E" w:rsidP="00470C54">
            <w:pPr>
              <w:rPr>
                <w:sz w:val="22"/>
                <w:szCs w:val="22"/>
              </w:rPr>
            </w:pPr>
            <w:r w:rsidRPr="00895C71">
              <w:rPr>
                <w:sz w:val="22"/>
                <w:szCs w:val="22"/>
              </w:rPr>
              <w:t xml:space="preserve">Schuh </w:t>
            </w:r>
            <w:proofErr w:type="spellStart"/>
            <w:r w:rsidRPr="00895C71">
              <w:rPr>
                <w:sz w:val="22"/>
                <w:szCs w:val="22"/>
              </w:rPr>
              <w:t>Ellenburg</w:t>
            </w:r>
            <w:proofErr w:type="spellEnd"/>
            <w:r w:rsidRPr="00895C71">
              <w:rPr>
                <w:sz w:val="22"/>
                <w:szCs w:val="22"/>
              </w:rPr>
              <w:t xml:space="preserve"> 2007</w:t>
            </w:r>
          </w:p>
        </w:tc>
        <w:tc>
          <w:tcPr>
            <w:tcW w:w="114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6797D" w14:textId="0C046874" w:rsidR="00A3241E" w:rsidRDefault="00A3241E" w:rsidP="00A3241E">
            <w:pPr>
              <w:jc w:val="center"/>
            </w:pPr>
            <w:r w:rsidRPr="00895C71">
              <w:t>Yes</w:t>
            </w:r>
          </w:p>
          <w:p w14:paraId="48CFA6B9" w14:textId="77777777" w:rsidR="00A3241E" w:rsidRDefault="00A3241E" w:rsidP="00A3241E">
            <w:pPr>
              <w:jc w:val="center"/>
            </w:pPr>
            <w:r>
              <w:t xml:space="preserve">Telomere position maximizes sister cohesion with tension. </w:t>
            </w:r>
          </w:p>
          <w:p w14:paraId="613BD9DA" w14:textId="77777777" w:rsidR="00A3241E" w:rsidRPr="00895C71" w:rsidRDefault="00A3241E" w:rsidP="00A3241E">
            <w:pPr>
              <w:jc w:val="center"/>
            </w:pPr>
          </w:p>
        </w:tc>
        <w:tc>
          <w:tcPr>
            <w:tcW w:w="97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16772" w14:textId="792B4509" w:rsidR="00A3241E" w:rsidRDefault="00A3241E" w:rsidP="00A3241E">
            <w:pPr>
              <w:jc w:val="center"/>
            </w:pPr>
            <w:r w:rsidRPr="00895C71">
              <w:t>Yes</w:t>
            </w:r>
          </w:p>
          <w:p w14:paraId="2C8A65CB" w14:textId="77777777" w:rsidR="00A3241E" w:rsidRDefault="00A3241E" w:rsidP="00A3241E">
            <w:pPr>
              <w:jc w:val="center"/>
            </w:pPr>
            <w:r>
              <w:t>Weak interference makes more variance across landscape.</w:t>
            </w:r>
          </w:p>
          <w:p w14:paraId="546FED5E" w14:textId="77777777" w:rsidR="00A3241E" w:rsidRPr="00895C71" w:rsidRDefault="00A3241E" w:rsidP="00A3241E">
            <w:pPr>
              <w:jc w:val="center"/>
            </w:pPr>
          </w:p>
        </w:tc>
        <w:tc>
          <w:tcPr>
            <w:tcW w:w="100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21A12" w14:textId="77777777" w:rsidR="00A3241E" w:rsidRDefault="00A3241E" w:rsidP="00A3241E">
            <w:pPr>
              <w:jc w:val="center"/>
            </w:pPr>
            <w:r>
              <w:t>Y</w:t>
            </w:r>
            <w:r w:rsidRPr="00895C71">
              <w:t>es</w:t>
            </w:r>
          </w:p>
          <w:p w14:paraId="36DF0619" w14:textId="77777777" w:rsidR="00A3241E" w:rsidRPr="00895C71" w:rsidRDefault="00A3241E" w:rsidP="00A3241E">
            <w:pPr>
              <w:jc w:val="center"/>
            </w:pPr>
            <w:r>
              <w:t>Relaxed selection on SAC would increases variance across cells.</w:t>
            </w:r>
          </w:p>
        </w:tc>
      </w:tr>
    </w:tbl>
    <w:p w14:paraId="1C00AD67" w14:textId="610907CE" w:rsidR="00A3241E" w:rsidRDefault="00A3241E">
      <w:bookmarkStart w:id="0" w:name="_GoBack"/>
      <w:bookmarkEnd w:id="0"/>
    </w:p>
    <w:p w14:paraId="6A889223" w14:textId="653AF0C9" w:rsidR="00A3241E" w:rsidRDefault="00A3241E"/>
    <w:sectPr w:rsidR="00A3241E" w:rsidSect="00895C71"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71"/>
    <w:rsid w:val="00185C4A"/>
    <w:rsid w:val="001B05E6"/>
    <w:rsid w:val="001D04AD"/>
    <w:rsid w:val="001D6F4C"/>
    <w:rsid w:val="0031291B"/>
    <w:rsid w:val="00386E92"/>
    <w:rsid w:val="00470C54"/>
    <w:rsid w:val="00472B88"/>
    <w:rsid w:val="006C7F5D"/>
    <w:rsid w:val="00895C71"/>
    <w:rsid w:val="00A3241E"/>
    <w:rsid w:val="00A7611D"/>
    <w:rsid w:val="00B8174D"/>
    <w:rsid w:val="00BD0DF0"/>
    <w:rsid w:val="00C4103A"/>
    <w:rsid w:val="00D36425"/>
    <w:rsid w:val="00EA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D959"/>
  <w15:chartTrackingRefBased/>
  <w15:docId w15:val="{711A88AA-F5CA-F84C-8C99-B1BB4E56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2020-03-08T18:47:00Z</dcterms:created>
  <dcterms:modified xsi:type="dcterms:W3CDTF">2020-03-08T21:05:00Z</dcterms:modified>
</cp:coreProperties>
</file>