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839B4" w14:textId="77777777" w:rsidR="00404D7B" w:rsidRDefault="00A70004" w:rsidP="003A6557">
      <w:pPr>
        <w:pStyle w:val="Title"/>
        <w:suppressLineNumbers/>
        <w:spacing w:line="360" w:lineRule="auto"/>
        <w:jc w:val="left"/>
      </w:pPr>
      <w:r>
        <w:t>Sex-Specific Evolution of the Meiotic Recombination Rate</w:t>
      </w:r>
    </w:p>
    <w:p w14:paraId="2F7AA71A" w14:textId="77777777" w:rsidR="00404D7B" w:rsidRDefault="00A70004" w:rsidP="003A6557">
      <w:pPr>
        <w:pStyle w:val="Author"/>
        <w:suppressLineNumbers/>
        <w:spacing w:line="360" w:lineRule="auto"/>
        <w:jc w:val="left"/>
      </w:pPr>
      <w:r>
        <w:t>April L. Peterson, Bret A. Payseur</w:t>
      </w:r>
    </w:p>
    <w:p w14:paraId="0F695BE7" w14:textId="77777777" w:rsidR="00116093" w:rsidRDefault="00B5687E" w:rsidP="003A6557">
      <w:pPr>
        <w:pStyle w:val="BodyText"/>
        <w:suppressLineNumbers/>
        <w:spacing w:line="360" w:lineRule="auto"/>
      </w:pPr>
      <w:r>
        <w:t>University of Wisconsin-Madison</w:t>
      </w:r>
    </w:p>
    <w:p w14:paraId="57F75D05" w14:textId="77777777" w:rsidR="00B5687E" w:rsidRDefault="00B5687E" w:rsidP="003A6557">
      <w:pPr>
        <w:pStyle w:val="BodyText"/>
        <w:suppressLineNumbers/>
        <w:spacing w:line="360" w:lineRule="auto"/>
      </w:pPr>
      <w:r>
        <w:t>Laboratory of Genetics</w:t>
      </w:r>
    </w:p>
    <w:p w14:paraId="47B87A2F" w14:textId="77777777" w:rsidR="00116093" w:rsidRDefault="00116093" w:rsidP="003A6557">
      <w:pPr>
        <w:pStyle w:val="BodyText"/>
        <w:suppressLineNumbers/>
        <w:spacing w:line="360" w:lineRule="auto"/>
      </w:pPr>
    </w:p>
    <w:p w14:paraId="0B343019"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Submission to eLife</w:t>
      </w:r>
    </w:p>
    <w:p w14:paraId="6C25EC72"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Subject: Evolutionary Biology</w:t>
      </w:r>
    </w:p>
    <w:p w14:paraId="05ECC88E"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Senior Editors: Patricia Wittkopp, Diethard Tautz</w:t>
      </w:r>
    </w:p>
    <w:p w14:paraId="67D69BDE"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Reviewing Editors: Graham Coop,</w:t>
      </w:r>
      <w:r w:rsidR="00986FEF" w:rsidRPr="00461446">
        <w:rPr>
          <w:rFonts w:eastAsia="Times New Roman" w:cs="Calibri"/>
        </w:rPr>
        <w:t> Molly Przeworski</w:t>
      </w:r>
    </w:p>
    <w:p w14:paraId="2F267AE7" w14:textId="77777777" w:rsidR="00116093" w:rsidRPr="00116093" w:rsidRDefault="00116093" w:rsidP="003A6557">
      <w:pPr>
        <w:suppressLineNumbers/>
        <w:spacing w:after="0" w:line="360" w:lineRule="auto"/>
        <w:rPr>
          <w:rFonts w:ascii="Times New Roman" w:eastAsia="Times New Roman" w:hAnsi="Times New Roman" w:cs="Times New Roman"/>
        </w:rPr>
      </w:pPr>
    </w:p>
    <w:p w14:paraId="7245AEEE" w14:textId="77777777" w:rsidR="00116093" w:rsidRDefault="00116093" w:rsidP="003A6557">
      <w:pPr>
        <w:pStyle w:val="BodyText"/>
        <w:suppressLineNumbers/>
        <w:spacing w:line="360" w:lineRule="auto"/>
      </w:pPr>
      <w:r>
        <w:br w:type="page"/>
      </w:r>
    </w:p>
    <w:p w14:paraId="7654D772" w14:textId="77777777" w:rsidR="00404D7B" w:rsidRDefault="00A70004" w:rsidP="003A6557">
      <w:pPr>
        <w:pStyle w:val="Heading1"/>
        <w:spacing w:line="360" w:lineRule="auto"/>
      </w:pPr>
      <w:bookmarkStart w:id="0" w:name="abstract"/>
      <w:r>
        <w:t>ABSTRACT</w:t>
      </w:r>
      <w:bookmarkEnd w:id="0"/>
    </w:p>
    <w:p w14:paraId="2FDA1B57" w14:textId="035EDE3F" w:rsidR="00404D7B" w:rsidRDefault="00A70004" w:rsidP="003A6557">
      <w:pPr>
        <w:pStyle w:val="FirstParagraph"/>
        <w:spacing w:line="360" w:lineRule="auto"/>
      </w:pPr>
      <w: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r w:rsidR="00CA277A">
        <w:t>Despite the recognition that the sexes recombine at different rates, e</w:t>
      </w:r>
      <w:r>
        <w:t>xisting data fail to address the extent to which recombination experiences similar evolutionary pressures</w:t>
      </w:r>
      <w:r w:rsidR="00711D86">
        <w:t xml:space="preserve"> in the two sexes</w:t>
      </w:r>
      <w:r>
        <w:t xml:space="preserve">. To fill this gap, we measured </w:t>
      </w:r>
      <w:r w:rsidR="00EA7B43">
        <w:t>the genome-wide recombination rate</w:t>
      </w:r>
      <w:r>
        <w:t xml:space="preserve"> in both sexes </w:t>
      </w:r>
      <w:r w:rsidR="00711D86">
        <w:t xml:space="preserve">from </w:t>
      </w:r>
      <w:r>
        <w:t xml:space="preserve">a panel of </w:t>
      </w:r>
      <w:r w:rsidR="00711D86">
        <w:t xml:space="preserve">wild-derived inbred strains sampled from across three subspecies of house mice. </w:t>
      </w:r>
      <w:r w:rsidR="00BE2FD1">
        <w:t>We applied</w:t>
      </w:r>
      <w:r>
        <w:t xml:space="preserve"> single</w:t>
      </w:r>
      <w:r w:rsidR="00881BF1">
        <w:t>-</w:t>
      </w:r>
      <w:r>
        <w:t>cell immunohistochemistry</w:t>
      </w:r>
      <w:r w:rsidR="00BE2FD1">
        <w:t xml:space="preserve"> to inbred strains</w:t>
      </w:r>
      <w:r>
        <w:t xml:space="preserve"> to </w:t>
      </w:r>
      <w:r w:rsidR="00616101">
        <w:t>directly compare females and males from the same genetic background and meiotic context, thereby isolating the effect of sex on evolutionary differences</w:t>
      </w:r>
      <w:r w:rsidR="00C43FF4">
        <w:t xml:space="preserve"> in recombination</w:t>
      </w:r>
      <w:r w:rsidR="00616101">
        <w:t xml:space="preserve">. </w:t>
      </w:r>
      <w:r>
        <w:t xml:space="preserve">Our results </w:t>
      </w:r>
      <w:r w:rsidR="00CA277A">
        <w:t xml:space="preserve">reveal </w:t>
      </w:r>
      <w:r>
        <w:t xml:space="preserve">highly discordant evolutionary </w:t>
      </w:r>
      <w:r w:rsidR="00C43FF4">
        <w:t xml:space="preserve">trajectories </w:t>
      </w:r>
      <w:r>
        <w:t xml:space="preserve">in the two sexes. Whereas male recombination rates show rapid evolution over short timescales, female recombination rates measured in the same strains are mostly static. </w:t>
      </w:r>
      <w:r w:rsidR="00881BF1">
        <w:t xml:space="preserve">Strains </w:t>
      </w:r>
      <w:r w:rsidR="00C43FF4">
        <w:t>with</w:t>
      </w:r>
      <w:r w:rsidR="00881BF1">
        <w:t xml:space="preserve"> high recombination in males have more double-strand breaks and stronger crossover interference than strains with </w:t>
      </w:r>
      <w:r w:rsidR="00DF42E0">
        <w:t>low</w:t>
      </w:r>
      <w:r w:rsidR="00881BF1">
        <w:t xml:space="preserve"> recombination</w:t>
      </w:r>
      <w:r w:rsidR="00DF42E0">
        <w:t xml:space="preserve"> in males</w:t>
      </w:r>
      <w:r w:rsidR="00881BF1">
        <w:t xml:space="preserve">, suggesting that these factors contribute to the sex-specific evolution we document. </w:t>
      </w:r>
      <w:r>
        <w:t xml:space="preserve">These results </w:t>
      </w:r>
      <w:r w:rsidR="00CA277A">
        <w:t>provide the strongest evidence yet that sex is a primary driver of recombination rate evolution.</w:t>
      </w:r>
      <w:r>
        <w:t xml:space="preserve"> </w:t>
      </w:r>
    </w:p>
    <w:p w14:paraId="5D5793DF" w14:textId="77777777" w:rsidR="00404D7B" w:rsidRDefault="00A70004" w:rsidP="003A6557">
      <w:pPr>
        <w:pStyle w:val="Heading1"/>
        <w:spacing w:line="360" w:lineRule="auto"/>
      </w:pPr>
      <w:bookmarkStart w:id="1" w:name="introduction"/>
      <w:r>
        <w:t>INTRODUCTION</w:t>
      </w:r>
      <w:bookmarkEnd w:id="1"/>
    </w:p>
    <w:p w14:paraId="59B01D1C" w14:textId="426CF5CB" w:rsidR="002C7DFB" w:rsidRDefault="00A70004" w:rsidP="002C7DFB">
      <w:pPr>
        <w:pStyle w:val="FirstParagraph"/>
        <w:spacing w:line="360" w:lineRule="auto"/>
      </w:pPr>
      <w:r>
        <w:t xml:space="preserve">Meiosis </w:t>
      </w:r>
      <w:r w:rsidR="00BC5284">
        <w:t xml:space="preserve">converts diploid germ cells </w:t>
      </w:r>
      <w:r w:rsidR="00DF5337">
        <w:t>in</w:t>
      </w:r>
      <w:r w:rsidR="00BC5284">
        <w:t>to haploid gametes</w:t>
      </w:r>
      <w:r>
        <w:t xml:space="preserve">. </w:t>
      </w:r>
      <w:r w:rsidR="00845D2F">
        <w:t xml:space="preserve">During meiosis I, </w:t>
      </w:r>
      <w:r w:rsidR="00C43FF4">
        <w:t xml:space="preserve">DNA </w:t>
      </w:r>
      <w:r w:rsidR="00845D2F">
        <w:t xml:space="preserve">crossovers </w:t>
      </w:r>
      <w:r w:rsidR="00885E20">
        <w:t>aid the separation of homologous chromosomes by physically linking them and</w:t>
      </w:r>
      <w:r w:rsidR="00870382">
        <w:t xml:space="preserve"> establishing</w:t>
      </w:r>
      <w:r w:rsidR="00885E20">
        <w:t xml:space="preserve"> tension between them on the spindle</w:t>
      </w:r>
      <w:r w:rsidR="00A87F86">
        <w:t xml:space="preserve"> (REF?)</w:t>
      </w:r>
      <w:r w:rsidR="00885E20">
        <w:t>.</w:t>
      </w:r>
      <w:r w:rsidR="006E38AC">
        <w:t xml:space="preserve"> </w:t>
      </w:r>
      <w:r w:rsidR="00A87F86">
        <w:t xml:space="preserve">The wrong number of recombination events can </w:t>
      </w:r>
      <w:r w:rsidR="00727F36">
        <w:t>disrupt</w:t>
      </w:r>
      <w:r w:rsidR="00A87F86">
        <w:t xml:space="preserve"> chromosomal segregation, leading to infertility, miscarriage, and birth defects (Hassold and Hunt, 2001). </w:t>
      </w:r>
      <w:r w:rsidR="006E38AC">
        <w:t>Recombination also shapes evolution by shuffling the combinations of genetic variants offspring inherit.</w:t>
      </w:r>
      <w:r w:rsidR="006E38AC" w:rsidRPr="002C7DFB">
        <w:t xml:space="preserve"> </w:t>
      </w:r>
      <w:r w:rsidR="002C7DFB" w:rsidRPr="004D233C">
        <w:t>Recombination affects the fates of beneficial and deleterious mutations</w:t>
      </w:r>
      <w:r w:rsidR="00E563BB">
        <w:t xml:space="preserve"> (</w:t>
      </w:r>
      <w:r w:rsidR="00BE2FD1">
        <w:t xml:space="preserve">Felsenstein, 1974; </w:t>
      </w:r>
      <w:r w:rsidR="00E563BB">
        <w:t xml:space="preserve">Fisher, 1930; Hill and Robertson, 1966) and interacts with natural selection to leave gradients in </w:t>
      </w:r>
      <w:r w:rsidR="002C7DFB" w:rsidRPr="004D233C">
        <w:t>genom</w:t>
      </w:r>
      <w:r w:rsidR="0032040D">
        <w:t>ic</w:t>
      </w:r>
      <w:r w:rsidR="002C7DFB" w:rsidRPr="004D233C">
        <w:t xml:space="preserve"> patterns of diversity</w:t>
      </w:r>
      <w:r w:rsidR="00E563BB">
        <w:t xml:space="preserve"> </w:t>
      </w:r>
      <w:commentRangeStart w:id="2"/>
      <w:r w:rsidR="00E563BB" w:rsidRPr="00E563BB">
        <w:t>(Begun and Aquadro, 1992;</w:t>
      </w:r>
      <w:r w:rsidR="00E563BB" w:rsidRPr="004D233C">
        <w:t xml:space="preserve"> </w:t>
      </w:r>
      <w:r w:rsidR="00E563BB">
        <w:t xml:space="preserve">Charlesworth et al., 1993; </w:t>
      </w:r>
      <w:r w:rsidR="00E563BB" w:rsidRPr="004D233C">
        <w:t>Cutter and Payseur, 2013</w:t>
      </w:r>
      <w:r w:rsidR="00BE2FD1">
        <w:t>; Maynard Smith and Haigh 1974</w:t>
      </w:r>
      <w:r w:rsidR="00E563BB" w:rsidRPr="004D233C">
        <w:t>)</w:t>
      </w:r>
      <w:commentRangeEnd w:id="2"/>
      <w:r w:rsidR="00E563BB">
        <w:rPr>
          <w:rStyle w:val="CommentReference"/>
        </w:rPr>
        <w:commentReference w:id="2"/>
      </w:r>
      <w:r w:rsidR="00E563BB" w:rsidRPr="004D233C">
        <w:t>.</w:t>
      </w:r>
    </w:p>
    <w:p w14:paraId="03D0C5DB" w14:textId="592807AC" w:rsidR="00404D7B" w:rsidRDefault="00DF5337" w:rsidP="003A6557">
      <w:pPr>
        <w:pStyle w:val="FirstParagraph"/>
        <w:spacing w:line="360" w:lineRule="auto"/>
      </w:pPr>
      <w:r>
        <w:t>The role of recombination</w:t>
      </w:r>
      <w:r w:rsidR="00A70004">
        <w:t xml:space="preserve"> in facilitating </w:t>
      </w:r>
      <w:r w:rsidR="00727F36">
        <w:t xml:space="preserve">meiotic </w:t>
      </w:r>
      <w:r w:rsidR="00A70004">
        <w:t xml:space="preserve">chromosome </w:t>
      </w:r>
      <w:r>
        <w:t>assortment suggests that the total number of</w:t>
      </w:r>
      <w:r w:rsidR="00885E20">
        <w:t xml:space="preserve"> crossovers</w:t>
      </w:r>
      <w:r>
        <w:t xml:space="preserve"> in a cell</w:t>
      </w:r>
      <w:r w:rsidR="00885E20">
        <w:t xml:space="preserve"> – the </w:t>
      </w:r>
      <w:r w:rsidR="00A70004">
        <w:t>genome-wide recombination rate</w:t>
      </w:r>
      <w:r w:rsidR="00885E20">
        <w:t xml:space="preserve"> –</w:t>
      </w:r>
      <w:r w:rsidR="00A70004">
        <w:t xml:space="preserve"> </w:t>
      </w:r>
      <w:r w:rsidR="00A87F86">
        <w:t>is</w:t>
      </w:r>
      <w:r w:rsidR="00A70004">
        <w:t xml:space="preserve"> a</w:t>
      </w:r>
      <w:r w:rsidR="00A24835">
        <w:t>n</w:t>
      </w:r>
      <w:r w:rsidR="00A70004">
        <w:t xml:space="preserve"> </w:t>
      </w:r>
      <w:r w:rsidR="00A24835">
        <w:t>important cellular characteristic</w:t>
      </w:r>
      <w:r w:rsidR="00A70004">
        <w:t xml:space="preserve"> connected to org</w:t>
      </w:r>
      <w:r w:rsidR="00A87F86">
        <w:t>anismal fitness</w:t>
      </w:r>
      <w:r w:rsidR="00A70004">
        <w:t xml:space="preserve">. </w:t>
      </w:r>
      <w:r w:rsidR="00EF7E84">
        <w:t>The dual pressures of e</w:t>
      </w:r>
      <w:r w:rsidR="00A70004">
        <w:t xml:space="preserve">nsuring at least one crossover per chromosome </w:t>
      </w:r>
      <w:r w:rsidR="00EF7E84">
        <w:t>and</w:t>
      </w:r>
      <w:r w:rsidR="00A70004">
        <w:t xml:space="preserve"> minimizing </w:t>
      </w:r>
      <w:r w:rsidR="00EF7E84">
        <w:t>levels of</w:t>
      </w:r>
      <w:r w:rsidR="00A70004">
        <w:t xml:space="preserve"> DNA damage and ectopic </w:t>
      </w:r>
      <w:r w:rsidR="00EF7E84">
        <w:t xml:space="preserve">exchange </w:t>
      </w:r>
      <w:r w:rsidR="00A70004">
        <w:t xml:space="preserve">are thought to </w:t>
      </w:r>
      <w:del w:id="3" w:author="Bret Payseur" w:date="2020-06-25T14:23:00Z">
        <w:r w:rsidR="00A70004" w:rsidDel="00A24835">
          <w:delText>regulate the</w:delText>
        </w:r>
      </w:del>
      <w:r w:rsidR="00A24835">
        <w:t>impose</w:t>
      </w:r>
      <w:r w:rsidR="00A70004">
        <w:t xml:space="preserve"> lower and upper thresholds </w:t>
      </w:r>
      <w:del w:id="4" w:author="Bret Payseur" w:date="2020-06-23T10:32:00Z">
        <w:r w:rsidR="00A70004" w:rsidDel="00EF7E84">
          <w:delText>for a</w:delText>
        </w:r>
      </w:del>
      <w:r w:rsidR="00A24835">
        <w:t>on</w:t>
      </w:r>
      <w:r w:rsidR="00EF7E84">
        <w:t xml:space="preserve"> the </w:t>
      </w:r>
      <w:r w:rsidR="00A70004">
        <w:t>genome-wide recombination rate (</w:t>
      </w:r>
      <w:commentRangeStart w:id="5"/>
      <w:ins w:id="6" w:author="Bret Payseur" w:date="2020-06-30T10:32:00Z">
        <w:r w:rsidR="00BE2FD1">
          <w:t>Inoue</w:t>
        </w:r>
        <w:commentRangeEnd w:id="5"/>
        <w:r w:rsidR="00BE2FD1">
          <w:rPr>
            <w:rStyle w:val="CommentReference"/>
          </w:rPr>
          <w:commentReference w:id="5"/>
        </w:r>
        <w:r w:rsidR="00BE2FD1">
          <w:t xml:space="preserve">; </w:t>
        </w:r>
      </w:ins>
      <w:r w:rsidR="00A70004">
        <w:t>Nagaoka et al., 2012</w:t>
      </w:r>
      <w:del w:id="7" w:author="Bret Payseur" w:date="2020-06-30T10:32:00Z">
        <w:r w:rsidR="00A70004" w:rsidDel="00BE2FD1">
          <w:delText>) (</w:delText>
        </w:r>
        <w:commentRangeStart w:id="8"/>
        <w:r w:rsidR="00A70004" w:rsidDel="00BE2FD1">
          <w:delText>Inoue</w:delText>
        </w:r>
        <w:commentRangeEnd w:id="8"/>
        <w:r w:rsidR="00A87F86" w:rsidDel="00BE2FD1">
          <w:rPr>
            <w:rStyle w:val="CommentReference"/>
          </w:rPr>
          <w:commentReference w:id="8"/>
        </w:r>
      </w:del>
      <w:r w:rsidR="00A70004">
        <w:t xml:space="preserve">). Yet, within these </w:t>
      </w:r>
      <w:r w:rsidR="00DF0707">
        <w:t>bounds</w:t>
      </w:r>
      <w:del w:id="9" w:author="Bret Payseur" w:date="2020-06-26T10:18:00Z">
        <w:r w:rsidR="00A70004" w:rsidDel="00DF0707">
          <w:delText>thresholds</w:delText>
        </w:r>
      </w:del>
      <w:r w:rsidR="00EF7E84">
        <w:t xml:space="preserve">, individuals </w:t>
      </w:r>
      <w:r w:rsidR="002219EC">
        <w:t xml:space="preserve">from the same species </w:t>
      </w:r>
      <w:r w:rsidR="00BE2FD1">
        <w:t>can vary substantially</w:t>
      </w:r>
      <w:r w:rsidR="00EF7E84">
        <w:t xml:space="preserve"> in crossover number (</w:t>
      </w:r>
      <w:r w:rsidR="00A24835">
        <w:t>Kong et al., 200</w:t>
      </w:r>
      <w:r w:rsidR="00DF5A06">
        <w:t>8</w:t>
      </w:r>
      <w:r w:rsidR="00A24835">
        <w:t>; Gruhn et al., 2013; Ma et al., 2015; Johnston et al., 2016</w:t>
      </w:r>
      <w:r w:rsidR="00EF7E84">
        <w:t>).</w:t>
      </w:r>
      <w:del w:id="10" w:author="Bret Payseur" w:date="2020-06-23T10:33:00Z">
        <w:r w:rsidR="00A70004" w:rsidDel="00EF7E84">
          <w:delText xml:space="preserve"> the genome-wide recombination rate still varies across species and individuals.</w:delText>
        </w:r>
      </w:del>
    </w:p>
    <w:p w14:paraId="7B430EFD" w14:textId="74CE2E96" w:rsidR="00404D7B" w:rsidRDefault="00A70004" w:rsidP="003A6557">
      <w:pPr>
        <w:pStyle w:val="BodyText"/>
        <w:spacing w:line="360" w:lineRule="auto"/>
      </w:pPr>
      <w:r>
        <w:t>Sex</w:t>
      </w:r>
      <w:r w:rsidR="002219EC">
        <w:t xml:space="preserve"> </w:t>
      </w:r>
      <w:r>
        <w:t xml:space="preserve">is </w:t>
      </w:r>
      <w:r w:rsidR="00BE2FD1">
        <w:t>perhaps the</w:t>
      </w:r>
      <w:r>
        <w:t xml:space="preserve"> most notable ax</w:t>
      </w:r>
      <w:r w:rsidR="00BE2FD1">
        <w:t>is</w:t>
      </w:r>
      <w:r>
        <w:t xml:space="preserve"> </w:t>
      </w:r>
      <w:r w:rsidR="002219EC">
        <w:t>along which recombination rate varies</w:t>
      </w:r>
      <w:r>
        <w:t xml:space="preserve">. </w:t>
      </w:r>
      <w:r w:rsidR="0032040D">
        <w:t>Broadly speaking, s</w:t>
      </w:r>
      <w:r w:rsidR="002219EC">
        <w:t xml:space="preserve">exual dimorphism in </w:t>
      </w:r>
      <w:r w:rsidR="00062E22">
        <w:t xml:space="preserve">the genome-wide </w:t>
      </w:r>
      <w:r w:rsidR="002219EC">
        <w:t>recombination ra</w:t>
      </w:r>
      <w:r w:rsidR="00062E22">
        <w:t xml:space="preserve">te assumes two forms. In </w:t>
      </w:r>
      <w:r w:rsidR="0032040D">
        <w:t xml:space="preserve">species such as </w:t>
      </w:r>
      <w:r w:rsidR="00062E22" w:rsidRPr="004D233C">
        <w:rPr>
          <w:i/>
          <w:iCs/>
        </w:rPr>
        <w:t>Drosophila melanogaster</w:t>
      </w:r>
      <w:r w:rsidR="00062E22">
        <w:t xml:space="preserve">, </w:t>
      </w:r>
      <w:r w:rsidR="0032040D">
        <w:t>one sex completes meiosis without forming crossovers</w:t>
      </w:r>
      <w:r>
        <w:t xml:space="preserve"> (</w:t>
      </w:r>
      <w:r w:rsidR="0032040D">
        <w:t>“achiasmy”), while the other sex recombines (</w:t>
      </w:r>
      <w:commentRangeStart w:id="11"/>
      <w:r w:rsidR="00BE2FD1">
        <w:t xml:space="preserve">Haldane, 1922; </w:t>
      </w:r>
      <w:r>
        <w:t xml:space="preserve">Huxley, 1928; </w:t>
      </w:r>
      <w:del w:id="12" w:author="Bret Payseur" w:date="2020-06-30T10:38:00Z">
        <w:r w:rsidDel="00BE2FD1">
          <w:delText>Lenormand and Dutheil, 2005</w:delText>
        </w:r>
      </w:del>
      <w:ins w:id="13" w:author="Bret Payseur" w:date="2020-06-30T10:38:00Z">
        <w:r w:rsidR="00BE2FD1">
          <w:t>Burt et al., 1991</w:t>
        </w:r>
      </w:ins>
      <w:commentRangeEnd w:id="11"/>
      <w:ins w:id="14" w:author="Bret Payseur" w:date="2020-06-30T10:42:00Z">
        <w:r w:rsidR="006F7F39">
          <w:rPr>
            <w:rStyle w:val="CommentReference"/>
          </w:rPr>
          <w:commentReference w:id="11"/>
        </w:r>
      </w:ins>
      <w:r>
        <w:t xml:space="preserve">). </w:t>
      </w:r>
      <w:r w:rsidR="0032040D">
        <w:t>Alternatively, i</w:t>
      </w:r>
      <w:r w:rsidR="00062E22">
        <w:t xml:space="preserve">n most species </w:t>
      </w:r>
      <w:r w:rsidR="00BE2FD1">
        <w:t>with recombination</w:t>
      </w:r>
      <w:r w:rsidR="0032040D">
        <w:t>, crossovers</w:t>
      </w:r>
      <w:r w:rsidR="00062E22">
        <w:t xml:space="preserve"> </w:t>
      </w:r>
      <w:del w:id="15" w:author="Bret Payseur" w:date="2020-06-23T10:44:00Z">
        <w:r w:rsidDel="00062E22">
          <w:delText>The second, which is the focus of this manuscript, is the instance where both sexes recombine</w:delText>
        </w:r>
      </w:del>
      <w:r w:rsidR="00062E22">
        <w:t xml:space="preserve">occur in both sexes but at different rates </w:t>
      </w:r>
      <w:r>
        <w:t>(</w:t>
      </w:r>
      <w:r w:rsidR="00062E22">
        <w:t>“heterochiasmy”)</w:t>
      </w:r>
      <w:r>
        <w:t xml:space="preserve">. </w:t>
      </w:r>
      <w:r w:rsidR="006F7F39">
        <w:t>In these species, f</w:t>
      </w:r>
      <w:r w:rsidR="00062E22">
        <w:t xml:space="preserve">emales </w:t>
      </w:r>
      <w:r w:rsidR="00DF5A06">
        <w:t>tend to</w:t>
      </w:r>
      <w:r w:rsidR="00062E22">
        <w:t xml:space="preserve"> recombine more than males (</w:t>
      </w:r>
      <w:commentRangeStart w:id="16"/>
      <w:r w:rsidR="00BE2FD1">
        <w:t>Bell</w:t>
      </w:r>
      <w:r w:rsidR="006F7F39">
        <w:t>,</w:t>
      </w:r>
      <w:r w:rsidR="00BE2FD1">
        <w:t xml:space="preserve"> 1982; </w:t>
      </w:r>
      <w:r w:rsidR="00062E22">
        <w:t>Brandvain and Coop</w:t>
      </w:r>
      <w:r w:rsidR="006F7F39">
        <w:t>,</w:t>
      </w:r>
      <w:r w:rsidR="00703951">
        <w:t xml:space="preserve"> 2012</w:t>
      </w:r>
      <w:r w:rsidR="006F7F39">
        <w:t>; Burt et al., 1991; Lenormand and Dutheil, 2005; Lorch, 2005</w:t>
      </w:r>
      <w:commentRangeEnd w:id="16"/>
      <w:r w:rsidR="006F7F39">
        <w:rPr>
          <w:rStyle w:val="CommentReference"/>
        </w:rPr>
        <w:commentReference w:id="16"/>
      </w:r>
      <w:r w:rsidR="00062E22">
        <w:t xml:space="preserve">). </w:t>
      </w:r>
      <w:r w:rsidR="007D45C0">
        <w:t xml:space="preserve">In plants, heterochiasmy is correlated with the opportunity for haploid selection (Lenormand and Dutheil, 2005). </w:t>
      </w:r>
      <w:r w:rsidR="00062E22">
        <w:t xml:space="preserve">Despite </w:t>
      </w:r>
      <w:r w:rsidR="00E518F5">
        <w:t xml:space="preserve">the establishment of these </w:t>
      </w:r>
      <w:r w:rsidR="006F7F39">
        <w:t>interspecific trends</w:t>
      </w:r>
      <w:r w:rsidR="00062E22">
        <w:t>, a</w:t>
      </w:r>
      <w:r>
        <w:t xml:space="preserve">n understanding of how sex shapes the evolution of recombination cannot be achieved with available data. Comprehensive comparisons of </w:t>
      </w:r>
      <w:r w:rsidR="00E518F5">
        <w:t xml:space="preserve">variation in </w:t>
      </w:r>
      <w:r>
        <w:t xml:space="preserve">female and male recombination rates </w:t>
      </w:r>
      <w:r w:rsidR="003B0224">
        <w:t xml:space="preserve">within species </w:t>
      </w:r>
      <w:r w:rsidR="00E518F5">
        <w:t xml:space="preserve">have </w:t>
      </w:r>
      <w:r>
        <w:t xml:space="preserve">come from outbred populations </w:t>
      </w:r>
      <w:r w:rsidR="00BC5284">
        <w:t xml:space="preserve">of </w:t>
      </w:r>
      <w:r>
        <w:t>humans (Kong et al., 2004, 2008, 2014; Halldorsson et al., 2019</w:t>
      </w:r>
      <w:ins w:id="17" w:author="Bret Payseur" w:date="2020-06-25T11:53:00Z">
        <w:r w:rsidR="00727F36">
          <w:t>; Gruhn et al.</w:t>
        </w:r>
      </w:ins>
      <w:ins w:id="18" w:author="Bret Payseur" w:date="2020-06-25T11:54:00Z">
        <w:r w:rsidR="00727F36">
          <w:t>, 2013</w:t>
        </w:r>
      </w:ins>
      <w:r>
        <w:t>), dog</w:t>
      </w:r>
      <w:ins w:id="19" w:author="Bret Payseur" w:date="2020-06-23T09:35:00Z">
        <w:r w:rsidR="00BC5284">
          <w:t>s</w:t>
        </w:r>
      </w:ins>
      <w:r>
        <w:t xml:space="preserve"> (</w:t>
      </w:r>
      <w:commentRangeStart w:id="20"/>
      <w:ins w:id="21" w:author="Bret Payseur" w:date="2020-06-26T10:05:00Z">
        <w:r w:rsidR="00E563BB">
          <w:t>Campbell et al. 2014</w:t>
        </w:r>
      </w:ins>
      <w:commentRangeEnd w:id="20"/>
      <w:ins w:id="22" w:author="Bret Payseur" w:date="2020-06-26T10:06:00Z">
        <w:r w:rsidR="00E563BB">
          <w:rPr>
            <w:rStyle w:val="CommentReference"/>
          </w:rPr>
          <w:commentReference w:id="20"/>
        </w:r>
      </w:ins>
      <w:r>
        <w:t>), cattle (Ma et al., 2015; Sh</w:t>
      </w:r>
      <w:r w:rsidR="005965F0">
        <w:t xml:space="preserve">en et al., 2018), </w:t>
      </w:r>
      <w:r w:rsidR="007D45C0">
        <w:t xml:space="preserve">and </w:t>
      </w:r>
      <w:r w:rsidR="004A26D7">
        <w:t xml:space="preserve">Soay </w:t>
      </w:r>
      <w:r w:rsidR="005965F0">
        <w:t>sheep (Johnston et al., 2016)</w:t>
      </w:r>
      <w:r w:rsidR="00E518F5">
        <w:t>,</w:t>
      </w:r>
      <w:r>
        <w:t xml:space="preserve"> in which the role of sex is </w:t>
      </w:r>
      <w:r w:rsidR="0032040D">
        <w:t>confounded with</w:t>
      </w:r>
      <w:r w:rsidR="007D45C0">
        <w:t xml:space="preserve"> </w:t>
      </w:r>
      <w:r>
        <w:t>the contributions of genetic variation.</w:t>
      </w:r>
      <w:r w:rsidR="003B0224">
        <w:t xml:space="preserve"> </w:t>
      </w:r>
      <w:r w:rsidR="00727F36">
        <w:t xml:space="preserve">Although </w:t>
      </w:r>
      <w:r w:rsidR="00C43FF4">
        <w:t xml:space="preserve">it is known that </w:t>
      </w:r>
      <w:r w:rsidR="003B0224">
        <w:t xml:space="preserve">the </w:t>
      </w:r>
      <w:r w:rsidR="00727F36">
        <w:t>level and direction of heterochiasmy</w:t>
      </w:r>
      <w:r w:rsidR="003B0224">
        <w:t xml:space="preserve"> can differ among species (</w:t>
      </w:r>
      <w:r w:rsidR="00727F36">
        <w:t xml:space="preserve">Brandvain and Coop 2012; </w:t>
      </w:r>
      <w:r w:rsidR="0032040D">
        <w:t>Lenormand and Dutheil, 2005),</w:t>
      </w:r>
      <w:r w:rsidR="00727F36">
        <w:t xml:space="preserve"> </w:t>
      </w:r>
      <w:r w:rsidR="00DF5A06">
        <w:t xml:space="preserve">the correlation between female and male recombination rates among closely related species remains poorly documented. </w:t>
      </w:r>
      <w:r w:rsidR="003B0224">
        <w:t xml:space="preserve">Direct contrasts between </w:t>
      </w:r>
      <w:r w:rsidR="0032040D">
        <w:t>the two sexes</w:t>
      </w:r>
      <w:r w:rsidR="003B0224">
        <w:t xml:space="preserve"> across a common, diverse set of genomic backgrounds that represent recent timescales would reveal whether the </w:t>
      </w:r>
      <w:r w:rsidR="0032040D">
        <w:t xml:space="preserve">genome-wide </w:t>
      </w:r>
      <w:r w:rsidR="003B0224">
        <w:t xml:space="preserve">recombination rate evolves differently in </w:t>
      </w:r>
      <w:r w:rsidR="0032040D">
        <w:t>males and females.</w:t>
      </w:r>
    </w:p>
    <w:p w14:paraId="65617135" w14:textId="4162F43A" w:rsidR="00CC23EC" w:rsidRDefault="006E255B" w:rsidP="003A6557">
      <w:pPr>
        <w:pStyle w:val="BodyText"/>
        <w:spacing w:line="360" w:lineRule="auto"/>
      </w:pPr>
      <w:r>
        <w:t xml:space="preserve">Examining variation in the total number of crossovers in a sex-specific manner could also illuminate evolutionary connections between recombination rate and crossover positioning. </w:t>
      </w:r>
      <w:r w:rsidR="0032471B">
        <w:t xml:space="preserve">Analyses of meiotic chromosome morphology in </w:t>
      </w:r>
      <w:r w:rsidR="0032471B">
        <w:rPr>
          <w:i/>
          <w:iCs/>
        </w:rPr>
        <w:t xml:space="preserve">Arabidopsis thaliana, Caenorhabditis elegans, </w:t>
      </w:r>
      <w:r w:rsidR="0032471B">
        <w:t xml:space="preserve">and </w:t>
      </w:r>
      <w:r w:rsidR="0032471B">
        <w:rPr>
          <w:i/>
          <w:iCs/>
        </w:rPr>
        <w:t>Mus musculus</w:t>
      </w:r>
      <w:r w:rsidR="0032471B">
        <w:t xml:space="preserve"> suggest that the sex with more recombination usually has longer chromosome axes (Cahoon and Libuda, 2019)</w:t>
      </w:r>
      <w:r w:rsidR="00B5642E">
        <w:t>.</w:t>
      </w:r>
      <w:r w:rsidR="0032471B">
        <w:t xml:space="preserve"> </w:t>
      </w:r>
      <w:r w:rsidR="000E5DA7">
        <w:t xml:space="preserve">A survey of 51 species found conserved sex differences in the recombination landscape, including telomere-biased placement of crossovers in males but not in females (Sardell and Kirkpatrick, 2020). The degree to which a </w:t>
      </w:r>
      <w:r w:rsidR="006F7F39">
        <w:t>crossover</w:t>
      </w:r>
      <w:r w:rsidR="0032471B">
        <w:t xml:space="preserve"> reduces the probability of another </w:t>
      </w:r>
      <w:r w:rsidR="006F7F39">
        <w:t>crossover</w:t>
      </w:r>
      <w:r w:rsidR="0032471B">
        <w:t xml:space="preserve"> nearby (crossover interference) also differs between females and males (Otto and Payseur 2019). </w:t>
      </w:r>
    </w:p>
    <w:p w14:paraId="1A6AB1B5" w14:textId="6C30C5FA" w:rsidR="008749CB" w:rsidRDefault="00CC23EC" w:rsidP="003A6557">
      <w:pPr>
        <w:pStyle w:val="BodyText"/>
        <w:spacing w:line="360" w:lineRule="auto"/>
      </w:pPr>
      <w:r>
        <w:t xml:space="preserve">The house mouse, </w:t>
      </w:r>
      <w:r>
        <w:rPr>
          <w:i/>
          <w:iCs/>
        </w:rPr>
        <w:t>Mus musculus</w:t>
      </w:r>
      <w:r>
        <w:t xml:space="preserve">, provides a compelling system for understanding how sex </w:t>
      </w:r>
      <w:r w:rsidR="00F60D42">
        <w:t>determines</w:t>
      </w:r>
      <w:r>
        <w:t xml:space="preserve"> the evolution of recombination. Multiple subspecies </w:t>
      </w:r>
      <w:r w:rsidR="005A46E5">
        <w:t>share</w:t>
      </w:r>
      <w:r>
        <w:t xml:space="preserve"> a most recent common ancestor approximately 0.5 million years ago (Geraldes et al. 2011), providing the opportunity to examine natural variation on recent evolutionary timescales. Wild </w:t>
      </w:r>
      <w:r>
        <w:rPr>
          <w:i/>
          <w:iCs/>
        </w:rPr>
        <w:t>Mus musculus</w:t>
      </w:r>
      <w:r>
        <w:t xml:space="preserve"> belong to the same species as classical inbred strains of mice, </w:t>
      </w:r>
      <w:r w:rsidR="002E7C8B">
        <w:t xml:space="preserve">where the molecular and cellular pathways that lead to crossovers have been studied extensively (Baudat et al., 2013; </w:t>
      </w:r>
      <w:commentRangeStart w:id="23"/>
      <w:r w:rsidR="006F7F39">
        <w:t>Bolcun-Filas and Schimenti, 2012</w:t>
      </w:r>
      <w:commentRangeEnd w:id="23"/>
      <w:r w:rsidR="006F7F39">
        <w:rPr>
          <w:rStyle w:val="CommentReference"/>
        </w:rPr>
        <w:commentReference w:id="23"/>
      </w:r>
      <w:r w:rsidR="006F7F39">
        <w:t xml:space="preserve">; </w:t>
      </w:r>
      <w:r w:rsidR="002E7C8B">
        <w:t xml:space="preserve">Handel and Schimenti, 2010). </w:t>
      </w:r>
      <w:r w:rsidR="0044464C">
        <w:t>Single-cell immunofluorescent approaches make it possible to estimate</w:t>
      </w:r>
      <w:r w:rsidR="00B45D6A">
        <w:t xml:space="preserve"> genome-wide</w:t>
      </w:r>
      <w:r w:rsidR="0044464C">
        <w:t xml:space="preserve"> recombination rates in individual </w:t>
      </w:r>
      <w:r w:rsidR="00C43FF4">
        <w:t>males and females</w:t>
      </w:r>
      <w:r w:rsidR="00D804B9">
        <w:t xml:space="preserve"> </w:t>
      </w:r>
      <w:r w:rsidR="0044464C">
        <w:t>(Koehler et al. 2002</w:t>
      </w:r>
      <w:r w:rsidR="006F7F39">
        <w:t>; Peters et al., 1997</w:t>
      </w:r>
      <w:r w:rsidR="0044464C">
        <w:t xml:space="preserve">). </w:t>
      </w:r>
      <w:r w:rsidR="008749CB">
        <w:t xml:space="preserve">A collection of wild-derived inbred strains founded from a variety of geographic locations is available, enabling genetic variation in recombination to be profiled across the species range. Most importantly, </w:t>
      </w:r>
      <w:r w:rsidR="0044464C">
        <w:t xml:space="preserve">by measuring recombination rates in females and males from the same set of wild-derived inbred strains, the evolutionary dynamics of recombination can be directly compared in the two sexes. </w:t>
      </w:r>
    </w:p>
    <w:p w14:paraId="2199A641" w14:textId="116DD665" w:rsidR="00D46DE8" w:rsidRDefault="00A70004" w:rsidP="003A6557">
      <w:pPr>
        <w:pStyle w:val="BodyText"/>
        <w:spacing w:line="360" w:lineRule="auto"/>
      </w:pPr>
      <w:r>
        <w:t xml:space="preserve">In this </w:t>
      </w:r>
      <w:r w:rsidR="006E255B">
        <w:t>paper</w:t>
      </w:r>
      <w:r>
        <w:t xml:space="preserve">, we </w:t>
      </w:r>
      <w:r w:rsidR="006E255B">
        <w:t xml:space="preserve">report </w:t>
      </w:r>
      <w:r w:rsidR="005F0130">
        <w:t>genome-wide recombination rates</w:t>
      </w:r>
      <w:r>
        <w:t xml:space="preserve"> from both s</w:t>
      </w:r>
      <w:r w:rsidR="005F0130">
        <w:t>exes</w:t>
      </w:r>
      <w:r>
        <w:t xml:space="preserve"> in a </w:t>
      </w:r>
      <w:r w:rsidR="006E255B">
        <w:t>diverse panel of wild-derived inbred strains of house mice and their close relatives</w:t>
      </w:r>
      <w:r>
        <w:t xml:space="preserve">. </w:t>
      </w:r>
      <w:r w:rsidR="006E255B">
        <w:t xml:space="preserve">We demonstrate that recombination rate evolves differently in </w:t>
      </w:r>
      <w:r w:rsidR="00D804B9">
        <w:t>females and males</w:t>
      </w:r>
      <w:r w:rsidR="006E255B">
        <w:t>, even over</w:t>
      </w:r>
      <w:r w:rsidR="00DF5A06">
        <w:t xml:space="preserve"> </w:t>
      </w:r>
      <w:r w:rsidR="00461BBC">
        <w:t>short timescale</w:t>
      </w:r>
      <w:r w:rsidR="00DF5A06">
        <w:t>s</w:t>
      </w:r>
      <w:r w:rsidR="00461BBC">
        <w:t>.</w:t>
      </w:r>
    </w:p>
    <w:p w14:paraId="6C376621" w14:textId="77777777" w:rsidR="00404D7B" w:rsidRDefault="00A70004" w:rsidP="003A6557">
      <w:pPr>
        <w:pStyle w:val="Heading1"/>
        <w:spacing w:line="360" w:lineRule="auto"/>
      </w:pPr>
      <w:bookmarkStart w:id="24" w:name="results"/>
      <w:r>
        <w:t>RESULTS</w:t>
      </w:r>
      <w:bookmarkEnd w:id="24"/>
    </w:p>
    <w:p w14:paraId="2455F09C" w14:textId="77777777" w:rsidR="00404D7B" w:rsidRDefault="00A70004" w:rsidP="003A6557">
      <w:pPr>
        <w:pStyle w:val="Heading2"/>
        <w:spacing w:line="360" w:lineRule="auto"/>
      </w:pPr>
      <w:bookmarkStart w:id="25" w:name="Xe2805188b4a375d8984d71ca50a462843d73200"/>
      <w:r>
        <w:t>Genome-wide recombination rate evolves differently in females and males</w:t>
      </w:r>
      <w:bookmarkEnd w:id="25"/>
    </w:p>
    <w:p w14:paraId="0FFC4473" w14:textId="5D59D7CD" w:rsidR="00404D7B" w:rsidRDefault="00A70004" w:rsidP="003A6557">
      <w:pPr>
        <w:pStyle w:val="FirstParagraph"/>
        <w:spacing w:line="360" w:lineRule="auto"/>
      </w:pPr>
      <w:r>
        <w:t>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xml:space="preserve"> ) and three </w:t>
      </w:r>
      <w:r w:rsidR="00DF42E0">
        <w:t xml:space="preserve">other </w:t>
      </w:r>
      <w:r>
        <w:t>species of Mus (</w:t>
      </w:r>
      <w:r>
        <w:rPr>
          <w:i/>
        </w:rPr>
        <w:t>M. spretus</w:t>
      </w:r>
      <w:r>
        <w:t xml:space="preserve">, </w:t>
      </w:r>
      <w:r>
        <w:rPr>
          <w:i/>
        </w:rPr>
        <w:t>M. spicilegus</w:t>
      </w:r>
      <w:r>
        <w:t xml:space="preserve"> , and </w:t>
      </w:r>
      <w:r>
        <w:rPr>
          <w:i/>
        </w:rPr>
        <w:t>M. caroli</w:t>
      </w:r>
      <w:r>
        <w:t>). Mean MLH1 focus counts for 188 mice were quantified from an average of 21.77 spermatocytes per male (for a total of 1,742 spermatocytes) and 17.85 oocytes per female (for a total of 1,427 oocytes).</w:t>
      </w:r>
      <w:ins w:id="26" w:author="April Peterson" w:date="2020-06-30T13:18:00Z">
        <w:r w:rsidR="00A82D1F">
          <w:t xml:space="preserve"> &lt;insert statement for cell </w:t>
        </w:r>
      </w:ins>
      <w:ins w:id="27" w:author="April Peterson" w:date="2020-06-30T13:19:00Z">
        <w:r w:rsidR="00A82D1F">
          <w:t>sample size number&gt;</w:t>
        </w:r>
      </w:ins>
    </w:p>
    <w:p w14:paraId="5BDAB6F5" w14:textId="77777777" w:rsidR="00404D7B" w:rsidRDefault="00A70004" w:rsidP="003A6557">
      <w:pPr>
        <w:pStyle w:val="BodyText"/>
        <w:spacing w:line="360" w:lineRule="auto"/>
      </w:pPr>
      <w:r>
        <w:t>Graphical comparisons reveal sex-specific dynamics to the evolution of genome-wide recombination rate (Figure 1A). First, MLH1 focus counts differ between females and males in most strains. Second, the difference in counts between the sexes varies among strains. Although most strains show more MLH1 foci in females, two strains (</w:t>
      </w:r>
      <w:r>
        <w:rPr>
          <w:i/>
        </w:rPr>
        <w:t>musculus</w:t>
      </w:r>
      <w:r>
        <w:rPr>
          <w:i/>
          <w:vertAlign w:val="superscript"/>
        </w:rPr>
        <w:t>PWD</w:t>
      </w:r>
      <w:r>
        <w:t xml:space="preserve"> and </w:t>
      </w:r>
      <w:r>
        <w:rPr>
          <w:i/>
        </w:rPr>
        <w:t>molossinus</w:t>
      </w:r>
      <w:r>
        <w:rPr>
          <w:i/>
          <w:vertAlign w:val="superscript"/>
        </w:rPr>
        <w:t>MSM</w:t>
      </w:r>
      <w:r>
        <w:t xml:space="preserve">) exhibit higher counts in males. In females, numbers of MLH1 foci are evenly distributed around the sex-wide mean of approximately 25 (Figure 1B). In stark contrast, males largely separate into two groups of strains with high numbers (near 30) and low numbers (near 23) of foci (Figure 1C). Strain mean MLH1 focus counts from females and males are uncorrelated (Spearman’s </w:t>
      </w:r>
      <m:oMath>
        <m:r>
          <w:rPr>
            <w:rFonts w:ascii="Cambria Math" w:hAnsi="Cambria Math"/>
          </w:rPr>
          <m:t>ρ</m:t>
        </m:r>
      </m:oMath>
      <w:r>
        <w:t xml:space="preserve"> = 0.08; p = 0.84) across the set of strains.</w:t>
      </w:r>
    </w:p>
    <w:p w14:paraId="5DDB3674" w14:textId="06F78A4E" w:rsidR="00FF2008" w:rsidRDefault="00A70004" w:rsidP="003A6557">
      <w:pPr>
        <w:pStyle w:val="BodyText"/>
        <w:spacing w:line="360" w:lineRule="auto"/>
      </w:pPr>
      <w:r>
        <w:t xml:space="preserve">To further partition variation in recombination rate, we fit a series of linear models to mean MLH1 focus counts from 137 house mice (Table 2; detailed results available in Supplemental Table </w:t>
      </w:r>
      <w:commentRangeStart w:id="28"/>
      <w:r>
        <w:t>X</w:t>
      </w:r>
      <w:commentRangeEnd w:id="28"/>
      <w:r w:rsidR="00DF42E0">
        <w:rPr>
          <w:rStyle w:val="CommentReference"/>
        </w:rPr>
        <w:commentReference w:id="28"/>
      </w:r>
      <w:r>
        <w:t>). Strain, sex, subspecies, and sex*subspecies each affect MLH1 focus count in a linear mixed model (M1; strain (random effect): p &lt; 10</w:t>
      </w:r>
      <w:r w:rsidRPr="00226E0E">
        <w:rPr>
          <w:vertAlign w:val="superscript"/>
        </w:rPr>
        <w:t>-4</w:t>
      </w:r>
      <w:r>
        <w:t>; sex: p = 3.64</w:t>
      </w:r>
      <w:r w:rsidR="00226E0E">
        <w:t xml:space="preserve"> x 10</w:t>
      </w:r>
      <w:r w:rsidR="00226E0E">
        <w:rPr>
          <w:vertAlign w:val="superscript"/>
        </w:rPr>
        <w:t>-6</w:t>
      </w:r>
      <w:r>
        <w:t>; subspecies: p = 9.69</w:t>
      </w:r>
      <w:r w:rsidR="00226E0E">
        <w:t xml:space="preserve"> x 10</w:t>
      </w:r>
      <w:r w:rsidRPr="00226E0E">
        <w:rPr>
          <w:vertAlign w:val="superscript"/>
        </w:rPr>
        <w:t>-4</w:t>
      </w:r>
      <w:r>
        <w:t>; subspecies*sex: p = 1.8</w:t>
      </w:r>
      <w:ins w:id="29" w:author="Bret Payseur" w:date="2020-06-26T16:19:00Z">
        <w:r w:rsidR="00DF42E0">
          <w:t xml:space="preserve"> </w:t>
        </w:r>
      </w:ins>
      <w:r w:rsidR="00226E0E">
        <w:t>x 10</w:t>
      </w:r>
      <w:r w:rsidRPr="00226E0E">
        <w:rPr>
          <w:vertAlign w:val="superscript"/>
        </w:rPr>
        <w:t>-4</w:t>
      </w:r>
      <w:r>
        <w:t>).</w:t>
      </w:r>
      <w:r w:rsidR="00FF2008">
        <w:t xml:space="preserve"> </w:t>
      </w:r>
    </w:p>
    <w:p w14:paraId="3BDB8127" w14:textId="0B13ABF6" w:rsidR="00404D7B" w:rsidRDefault="00A70004" w:rsidP="003A6557">
      <w:pPr>
        <w:pStyle w:val="BodyText"/>
        <w:spacing w:line="360" w:lineRule="auto"/>
      </w:pPr>
      <w:r>
        <w:t xml:space="preserve">The effect of subspecies is no longer significant in a model treating all factors as fixed effects (M2; </w:t>
      </w:r>
      <w:r w:rsidR="00505CA8">
        <w:rPr>
          <w:i/>
        </w:rPr>
        <w:t>m</w:t>
      </w:r>
      <w:r w:rsidR="00B71687" w:rsidRPr="00505CA8">
        <w:rPr>
          <w:i/>
        </w:rPr>
        <w:t>usculus</w:t>
      </w:r>
      <w:r>
        <w:t xml:space="preserve"> p = 0.24, </w:t>
      </w:r>
      <w:r w:rsidR="00505CA8">
        <w:rPr>
          <w:i/>
        </w:rPr>
        <w:t>m</w:t>
      </w:r>
      <w:r w:rsidRPr="00505CA8">
        <w:rPr>
          <w:i/>
        </w:rPr>
        <w:t>ol</w:t>
      </w:r>
      <w:r w:rsidR="00B71687" w:rsidRPr="00505CA8">
        <w:rPr>
          <w:i/>
        </w:rPr>
        <w:t>ossinus</w:t>
      </w:r>
      <w:r>
        <w:t xml:space="preserve"> p = 0.1), highlighting strain and sex as salient variables. Two strains exhibit strong effects on MLH1 focus count (M3; </w:t>
      </w:r>
      <w:r>
        <w:rPr>
          <w:i/>
        </w:rPr>
        <w:t>domesticus</w:t>
      </w:r>
      <w:r>
        <w:rPr>
          <w:i/>
          <w:vertAlign w:val="superscript"/>
        </w:rPr>
        <w:t>G</w:t>
      </w:r>
      <w:r>
        <w:t xml:space="preserve"> p = 1.78</w:t>
      </w:r>
      <w:r w:rsidR="00B71687">
        <w:t xml:space="preserve"> x 10</w:t>
      </w:r>
      <w:r w:rsidR="006826A5">
        <w:rPr>
          <w:vertAlign w:val="superscript"/>
        </w:rPr>
        <w:t>-6</w:t>
      </w:r>
      <w:r>
        <w:t xml:space="preserve">; </w:t>
      </w:r>
      <w:r>
        <w:rPr>
          <w:i/>
        </w:rPr>
        <w:t>domesticus</w:t>
      </w:r>
      <w:r>
        <w:rPr>
          <w:i/>
          <w:vertAlign w:val="superscript"/>
        </w:rPr>
        <w:t>LEW</w:t>
      </w:r>
      <w:r>
        <w:t xml:space="preserve"> p = 0.02), with sex-strain interactions involving three strains (M3; </w:t>
      </w:r>
      <w:r>
        <w:rPr>
          <w:i/>
        </w:rPr>
        <w:t>domesticus</w:t>
      </w:r>
      <w:r>
        <w:rPr>
          <w:i/>
          <w:vertAlign w:val="superscript"/>
        </w:rPr>
        <w:t>G</w:t>
      </w:r>
      <w:r w:rsidR="009A559B">
        <w:t xml:space="preserve"> </w:t>
      </w:r>
      <w:commentRangeStart w:id="30"/>
      <w:r w:rsidR="009A559B">
        <w:t>p &lt; x 10</w:t>
      </w:r>
      <w:r w:rsidR="009A559B">
        <w:rPr>
          <w:vertAlign w:val="superscript"/>
        </w:rPr>
        <w:t>-6</w:t>
      </w:r>
      <w:r>
        <w:t xml:space="preserve">; </w:t>
      </w:r>
      <w:r>
        <w:rPr>
          <w:i/>
        </w:rPr>
        <w:t>molossinus</w:t>
      </w:r>
      <w:r>
        <w:rPr>
          <w:i/>
          <w:vertAlign w:val="superscript"/>
        </w:rPr>
        <w:t>MSM</w:t>
      </w:r>
      <w:r w:rsidR="009A559B">
        <w:t xml:space="preserve"> p &lt; x 10</w:t>
      </w:r>
      <w:r w:rsidR="009A559B">
        <w:rPr>
          <w:vertAlign w:val="superscript"/>
        </w:rPr>
        <w:t>-6</w:t>
      </w:r>
      <w:commentRangeEnd w:id="30"/>
      <w:r w:rsidR="00FF2008">
        <w:rPr>
          <w:rStyle w:val="CommentReference"/>
        </w:rPr>
        <w:commentReference w:id="30"/>
      </w:r>
      <w:r>
        <w:t xml:space="preserve">; </w:t>
      </w:r>
      <w:r>
        <w:rPr>
          <w:i/>
        </w:rPr>
        <w:t>musculus</w:t>
      </w:r>
      <w:r>
        <w:rPr>
          <w:i/>
          <w:vertAlign w:val="superscript"/>
        </w:rPr>
        <w:t>PWD</w:t>
      </w:r>
      <w:r>
        <w:t xml:space="preserve"> p = 3.87</w:t>
      </w:r>
      <w:r w:rsidR="006826A5">
        <w:t xml:space="preserve"> x 10</w:t>
      </w:r>
      <w:r w:rsidRPr="006826A5">
        <w:rPr>
          <w:vertAlign w:val="superscript"/>
        </w:rPr>
        <w:t>-4</w:t>
      </w:r>
      <w:r>
        <w:t>).</w:t>
      </w:r>
    </w:p>
    <w:p w14:paraId="6EF69932" w14:textId="3641CCA3" w:rsidR="00404D7B" w:rsidRDefault="00A70004" w:rsidP="003A6557">
      <w:pPr>
        <w:pStyle w:val="BodyText"/>
        <w:spacing w:line="360" w:lineRule="auto"/>
      </w:pPr>
      <w:r>
        <w:t xml:space="preserve">In separate analyses of males (M4; n = 71), three strains disproportionately shape MLH1 focus count (as observed in Figure 1C): </w:t>
      </w:r>
      <w:r>
        <w:rPr>
          <w:i/>
        </w:rPr>
        <w:t>musculus</w:t>
      </w:r>
      <w:r>
        <w:rPr>
          <w:i/>
          <w:vertAlign w:val="superscript"/>
        </w:rPr>
        <w:t>PWD</w:t>
      </w:r>
      <w:r>
        <w:t xml:space="preserve"> (p = 3.6</w:t>
      </w:r>
      <w:r w:rsidR="006826A5">
        <w:t xml:space="preserve"> x 10</w:t>
      </w:r>
      <w:r w:rsidRPr="006826A5">
        <w:rPr>
          <w:vertAlign w:val="superscript"/>
        </w:rPr>
        <w:t>-7</w:t>
      </w:r>
      <w:r>
        <w:t xml:space="preserve">; effect = 6.11 </w:t>
      </w:r>
      <w:r w:rsidR="00816A2D">
        <w:t>foci</w:t>
      </w:r>
      <w:ins w:id="31" w:author="April Peterson" w:date="2020-06-30T13:21:00Z">
        <w:r w:rsidR="00A82D1F">
          <w:t xml:space="preserve"> (add CI’s here</w:t>
        </w:r>
      </w:ins>
      <w:r>
        <w:t xml:space="preserve">), </w:t>
      </w:r>
      <w:r>
        <w:rPr>
          <w:i/>
        </w:rPr>
        <w:t>molossinus</w:t>
      </w:r>
      <w:r>
        <w:rPr>
          <w:i/>
          <w:vertAlign w:val="superscript"/>
        </w:rPr>
        <w:t>MSM</w:t>
      </w:r>
      <w:r>
        <w:t xml:space="preserve"> (p = 6.3</w:t>
      </w:r>
      <w:r w:rsidR="006826A5">
        <w:t xml:space="preserve"> x 10</w:t>
      </w:r>
      <w:r w:rsidRPr="006826A5">
        <w:rPr>
          <w:vertAlign w:val="superscript"/>
        </w:rPr>
        <w:t>-9</w:t>
      </w:r>
      <w:r>
        <w:t xml:space="preserve">; effect = 6.91), and </w:t>
      </w:r>
      <w:r>
        <w:rPr>
          <w:i/>
        </w:rPr>
        <w:t>musculus</w:t>
      </w:r>
      <w:r>
        <w:rPr>
          <w:i/>
          <w:vertAlign w:val="superscript"/>
        </w:rPr>
        <w:t>SKIVE</w:t>
      </w:r>
      <w:r>
        <w:t xml:space="preserve"> (p = 8.22</w:t>
      </w:r>
      <w:r w:rsidR="006826A5">
        <w:t xml:space="preserve"> x 10</w:t>
      </w:r>
      <w:r w:rsidRPr="006826A5">
        <w:rPr>
          <w:vertAlign w:val="superscript"/>
        </w:rPr>
        <w:t>-4</w:t>
      </w:r>
      <w:r>
        <w:t xml:space="preserve">; effect = 4.04). These three strains point to substantial evolution in the genome-wide recombination rate in spermatocytes; we subsequently refer to them as “high-recombination” strains. In females (M4; n= 76), </w:t>
      </w:r>
      <w:r w:rsidR="00DF42E0">
        <w:t xml:space="preserve">three </w:t>
      </w:r>
      <w:r>
        <w:t xml:space="preserve">strains affect MLH1 focus count: </w:t>
      </w:r>
      <w:r>
        <w:rPr>
          <w:i/>
        </w:rPr>
        <w:t>domesticus</w:t>
      </w:r>
      <w:r>
        <w:rPr>
          <w:i/>
          <w:vertAlign w:val="superscript"/>
        </w:rPr>
        <w:t>G</w:t>
      </w:r>
      <w:r>
        <w:t xml:space="preserve"> (p = 8.7</w:t>
      </w:r>
      <w:r w:rsidR="006826A5">
        <w:t xml:space="preserve"> x 10</w:t>
      </w:r>
      <w:r w:rsidRPr="006826A5">
        <w:rPr>
          <w:vertAlign w:val="superscript"/>
        </w:rPr>
        <w:t>-6</w:t>
      </w:r>
      <w:r>
        <w:t xml:space="preserve">; effect = 3.3), </w:t>
      </w:r>
      <w:r>
        <w:rPr>
          <w:i/>
        </w:rPr>
        <w:t>molossinus</w:t>
      </w:r>
      <w:r>
        <w:rPr>
          <w:i/>
          <w:vertAlign w:val="superscript"/>
        </w:rPr>
        <w:t>MSM</w:t>
      </w:r>
      <w:r>
        <w:t xml:space="preserve"> (p = 2.43</w:t>
      </w:r>
      <w:r w:rsidR="006826A5">
        <w:t xml:space="preserve"> x 10</w:t>
      </w:r>
      <w:r w:rsidRPr="006826A5">
        <w:rPr>
          <w:vertAlign w:val="superscript"/>
        </w:rPr>
        <w:t>-5</w:t>
      </w:r>
      <w:r>
        <w:t>; effect = 2.99),</w:t>
      </w:r>
      <w:r w:rsidR="00DF42E0">
        <w:t xml:space="preserve"> and</w:t>
      </w:r>
      <w:r>
        <w:t xml:space="preserve"> </w:t>
      </w:r>
      <w:r>
        <w:rPr>
          <w:i/>
        </w:rPr>
        <w:t>domesticus</w:t>
      </w:r>
      <w:r>
        <w:rPr>
          <w:i/>
          <w:vertAlign w:val="superscript"/>
        </w:rPr>
        <w:t>LEW</w:t>
      </w:r>
      <w:r w:rsidR="003A6557">
        <w:t xml:space="preserve"> (p = 0.03</w:t>
      </w:r>
      <w:r>
        <w:t>; effect = 1.69). Strain effect sizes in females are modest in magnitude compared to those in males. Together, these results demonstrate that the genome-wide recombination rate evolves in a highly sex-specific manner.</w:t>
      </w:r>
    </w:p>
    <w:p w14:paraId="055FFFD0" w14:textId="77777777" w:rsidR="00404D7B" w:rsidRDefault="00A70004" w:rsidP="003A6557">
      <w:pPr>
        <w:pStyle w:val="Heading2"/>
        <w:spacing w:line="360" w:lineRule="auto"/>
      </w:pPr>
      <w:bookmarkStart w:id="32" w:name="X17bf90c1e16eb4d82acd6cbc6a02910513cd769"/>
      <w:r>
        <w:t>Synaptonemal complexes are longer in females</w:t>
      </w:r>
      <w:bookmarkEnd w:id="32"/>
    </w:p>
    <w:p w14:paraId="4EE590B9" w14:textId="77777777" w:rsidR="00404D7B" w:rsidRDefault="00A70004" w:rsidP="003A6557">
      <w:pPr>
        <w:pStyle w:val="FirstParagraph"/>
        <w:spacing w:line="360" w:lineRule="auto"/>
      </w:pPr>
      <w:r>
        <w:t xml:space="preserve">The variation in sex differences in recombination we discovered provided an opportunity to determine whether sex differences in chromatin compaction, as measured by the length of the synaptonemal complex (SC), are reversed when heterochiasmy is reversed. In all strains except </w:t>
      </w:r>
      <w:r>
        <w:rPr>
          <w:i/>
        </w:rPr>
        <w:t>musculus</w:t>
      </w:r>
      <w:r>
        <w:rPr>
          <w:i/>
          <w:vertAlign w:val="superscript"/>
        </w:rPr>
        <w:t>SKIVE</w:t>
      </w:r>
      <w:r>
        <w:t xml:space="preserve">, females have longer SCs than males, whether SC length was estimated as the total length across bivalents or as the length of short bivalents (t-tests; all p &lt; 0.05, except short bivalents in </w:t>
      </w:r>
      <w:r>
        <w:rPr>
          <w:i/>
        </w:rPr>
        <w:t>musculus</w:t>
      </w:r>
      <w:r>
        <w:rPr>
          <w:i/>
          <w:vertAlign w:val="superscript"/>
        </w:rPr>
        <w:t>SKIVE</w:t>
      </w:r>
      <w:r>
        <w:t>, p = 0.11).</w:t>
      </w:r>
    </w:p>
    <w:p w14:paraId="0572EA74" w14:textId="7A26A8BC" w:rsidR="00816A2D" w:rsidRDefault="00A70004" w:rsidP="003A6557">
      <w:pPr>
        <w:pStyle w:val="BodyText"/>
        <w:spacing w:line="360" w:lineRule="auto"/>
      </w:pPr>
      <w:r>
        <w:t>Among short bivalents (to which the female X bivalent does not contribute), female to male ratios of mouse mean SC length range from 1.26 (</w:t>
      </w:r>
      <w:r>
        <w:rPr>
          <w:i/>
        </w:rPr>
        <w:t>musculus</w:t>
      </w:r>
      <w:r>
        <w:rPr>
          <w:i/>
          <w:vertAlign w:val="superscript"/>
        </w:rPr>
        <w:t>PWD</w:t>
      </w:r>
      <w:r>
        <w:t>) to 1.52 (</w:t>
      </w:r>
      <w:r>
        <w:rPr>
          <w:i/>
        </w:rPr>
        <w:t>domesticus</w:t>
      </w:r>
      <w:r>
        <w:rPr>
          <w:i/>
          <w:vertAlign w:val="superscript"/>
        </w:rPr>
        <w:t>WSB</w:t>
      </w:r>
      <w:r>
        <w:t>) across strains. That females have longer SCs is further supported by models that include covariates, which identify sex as the most consistently significant effect for total SC length (M1: p = 2.56</w:t>
      </w:r>
      <w:r w:rsidR="00C14001">
        <w:t xml:space="preserve"> x 10</w:t>
      </w:r>
      <w:r w:rsidRPr="00C14001">
        <w:rPr>
          <w:vertAlign w:val="superscript"/>
        </w:rPr>
        <w:t>-31</w:t>
      </w:r>
      <w:r>
        <w:t>; M2: p = 2.56</w:t>
      </w:r>
      <w:r w:rsidR="00C14001">
        <w:t xml:space="preserve"> x 10</w:t>
      </w:r>
      <w:r w:rsidRPr="00C14001">
        <w:rPr>
          <w:vertAlign w:val="superscript"/>
        </w:rPr>
        <w:t>-8</w:t>
      </w:r>
      <w:r>
        <w:t>; M3: p =2.56</w:t>
      </w:r>
      <w:r w:rsidR="00C14001">
        <w:t xml:space="preserve"> x 10</w:t>
      </w:r>
      <w:r w:rsidR="00C14001">
        <w:rPr>
          <w:vertAlign w:val="superscript"/>
        </w:rPr>
        <w:t>-8</w:t>
      </w:r>
      <w:r>
        <w:t xml:space="preserve">) and short bivalent </w:t>
      </w:r>
      <w:r w:rsidR="00816A2D">
        <w:t xml:space="preserve">SC </w:t>
      </w:r>
      <w:r>
        <w:t>length (M1: p = 1.12</w:t>
      </w:r>
      <w:r w:rsidR="00C14001">
        <w:t xml:space="preserve"> x 10</w:t>
      </w:r>
      <w:r w:rsidRPr="00C14001">
        <w:rPr>
          <w:vertAlign w:val="superscript"/>
        </w:rPr>
        <w:t>-11</w:t>
      </w:r>
      <w:r>
        <w:t>; M2: p = 1.33</w:t>
      </w:r>
      <w:r w:rsidR="00C14001">
        <w:t xml:space="preserve"> x 10</w:t>
      </w:r>
      <w:r w:rsidRPr="00C14001">
        <w:rPr>
          <w:vertAlign w:val="superscript"/>
        </w:rPr>
        <w:t>-7</w:t>
      </w:r>
      <w:r>
        <w:t>; M3: p = 1.33</w:t>
      </w:r>
      <w:r w:rsidR="00C14001">
        <w:t xml:space="preserve"> x 10</w:t>
      </w:r>
      <w:r w:rsidRPr="00C14001">
        <w:rPr>
          <w:vertAlign w:val="superscript"/>
        </w:rPr>
        <w:t>-7</w:t>
      </w:r>
      <w:r>
        <w:t>). The existence of some subspecies and strain effects on total SC</w:t>
      </w:r>
      <w:r w:rsidR="00816A2D">
        <w:t xml:space="preserve"> length</w:t>
      </w:r>
      <w:r>
        <w:t xml:space="preserve"> and short bivalent SC </w:t>
      </w:r>
      <w:r w:rsidR="00816A2D">
        <w:t>l</w:t>
      </w:r>
      <w:r>
        <w:t xml:space="preserve">ength </w:t>
      </w:r>
      <w:r w:rsidR="00816A2D">
        <w:t xml:space="preserve">(Supplemental Tables 5 and 8) </w:t>
      </w:r>
      <w:r>
        <w:t xml:space="preserve">further indicates that SC length has evolved among strains and among subspecies. </w:t>
      </w:r>
    </w:p>
    <w:p w14:paraId="57EDF1F5" w14:textId="37E2736D" w:rsidR="00404D7B" w:rsidRDefault="00A70004" w:rsidP="003A6557">
      <w:pPr>
        <w:pStyle w:val="BodyText"/>
        <w:spacing w:line="360" w:lineRule="auto"/>
      </w:pPr>
      <w:r>
        <w:t>In summary, two approaches for measuring SC length demonstrate that females have longer SCs (chromosome axes), even in strains in which males recombine more. This pattern implies that in high-recombination strains, spermatocytes have less space than oocytes in which to position additional crossovers.</w:t>
      </w:r>
    </w:p>
    <w:p w14:paraId="5E681B4B" w14:textId="77777777" w:rsidR="00404D7B" w:rsidRDefault="00A70004" w:rsidP="003A6557">
      <w:pPr>
        <w:pStyle w:val="Heading2"/>
        <w:spacing w:line="360" w:lineRule="auto"/>
      </w:pPr>
      <w:bookmarkStart w:id="33" w:name="X3e39f5ff835cd71c450067efce71dc3d71d9f45"/>
      <w:r>
        <w:t>Females and males differ in crossover positions and crossover interference</w:t>
      </w:r>
      <w:bookmarkEnd w:id="33"/>
    </w:p>
    <w:p w14:paraId="5AEBFD89" w14:textId="0CA5C771" w:rsidR="00404D7B" w:rsidRDefault="00A70004" w:rsidP="003A6557">
      <w:pPr>
        <w:pStyle w:val="FirstParagraph"/>
        <w:spacing w:line="360" w:lineRule="auto"/>
      </w:pPr>
      <w:r>
        <w:t>We used normalized positions of MLH1 foci along bivalents with a single focus to compare crossover location while controlling for differences in SC length. In all strains, MLH1 foci tend to be closer to the telomere in males (mean normalized position in males: 0.68</w:t>
      </w:r>
      <w:ins w:id="34" w:author="April Peterson" w:date="2020-06-30T13:46:00Z">
        <w:r w:rsidR="00957CD7">
          <w:t xml:space="preserve"> add s.d here?</w:t>
        </w:r>
      </w:ins>
      <w:r>
        <w:t>; mean normalized position in females: 0.56; paired t-test; p = 8.49</w:t>
      </w:r>
      <w:r w:rsidR="0046324E">
        <w:t xml:space="preserve"> x 10</w:t>
      </w:r>
      <w:r w:rsidRPr="0046324E">
        <w:rPr>
          <w:vertAlign w:val="superscript"/>
        </w:rPr>
        <w:t>-4</w:t>
      </w:r>
      <w:r>
        <w:t>). Sex is also the strongest determinant of MLH1 focus position in the models we tested (M1: p = 2.82</w:t>
      </w:r>
      <w:r w:rsidR="0046324E">
        <w:t xml:space="preserve"> x 10</w:t>
      </w:r>
      <w:r w:rsidR="0046324E">
        <w:rPr>
          <w:vertAlign w:val="superscript"/>
        </w:rPr>
        <w:t>-26</w:t>
      </w:r>
      <w:r>
        <w:t>; M2: p = 3.96</w:t>
      </w:r>
      <w:r w:rsidR="0046324E">
        <w:t xml:space="preserve"> x 10</w:t>
      </w:r>
      <w:r w:rsidRPr="0046324E">
        <w:rPr>
          <w:vertAlign w:val="superscript"/>
        </w:rPr>
        <w:t>-8</w:t>
      </w:r>
      <w:r>
        <w:t>; M3: p = 3.96</w:t>
      </w:r>
      <w:r w:rsidR="0046324E">
        <w:t xml:space="preserve"> x 10</w:t>
      </w:r>
      <w:r w:rsidRPr="0046324E">
        <w:rPr>
          <w:vertAlign w:val="superscript"/>
        </w:rPr>
        <w:t>-8</w:t>
      </w:r>
      <w:r>
        <w:t>).</w:t>
      </w:r>
    </w:p>
    <w:p w14:paraId="39AE5257" w14:textId="52040993" w:rsidR="00816A2D" w:rsidRDefault="00A70004" w:rsidP="003A6557">
      <w:pPr>
        <w:pStyle w:val="BodyText"/>
        <w:spacing w:line="360" w:lineRule="auto"/>
        <w:rPr>
          <w:ins w:id="35" w:author="Bret Payseur" w:date="2020-06-29T08:47:00Z"/>
        </w:rPr>
      </w:pPr>
      <w:r>
        <w:t>Males have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0.33). Examination of IFD</w:t>
      </w:r>
      <w:r>
        <w:rPr>
          <w:vertAlign w:val="subscript"/>
        </w:rPr>
        <w:t>norm</w:t>
      </w:r>
      <w:r>
        <w:t xml:space="preserve"> distributions indicates that females are centered at approximately 50% and show a slight enrichment of low (&lt;25%) values, whereas males are enriched for higher values. Models treating IFD</w:t>
      </w:r>
      <w:r>
        <w:rPr>
          <w:vertAlign w:val="subscript"/>
        </w:rPr>
        <w:t>norm</w:t>
      </w:r>
      <w:r>
        <w:t xml:space="preserve"> as the dependent variable support the inference of stronger interference in males, with sex being the most significant variable (M1: p = 9.08</w:t>
      </w:r>
      <w:r w:rsidR="008124AD">
        <w:t xml:space="preserve"> x 10</w:t>
      </w:r>
      <w:r w:rsidRPr="008124AD">
        <w:rPr>
          <w:vertAlign w:val="superscript"/>
        </w:rPr>
        <w:t>-12</w:t>
      </w:r>
      <w:r>
        <w:t xml:space="preserve"> ; M2: p = 0.01; M3: p = 0.01). In contrast, there is no clear signal of sex differences in raw mean inter-focal distances (IFD</w:t>
      </w:r>
      <w:r>
        <w:rPr>
          <w:vertAlign w:val="subscript"/>
        </w:rPr>
        <w:t>raw</w:t>
      </w:r>
      <w:r>
        <w:t>) (Supplemental Table 13 and 14) across the full set of strains, whether they are considered separately or together. Visualization of normalized MLH1 foci positions on bivalents with two crossovers (Figure 4C</w:t>
      </w:r>
      <w:ins w:id="36" w:author="April Peterson" w:date="2020-06-30T13:48:00Z">
        <w:r w:rsidR="00957CD7">
          <w:t xml:space="preserve"> and Supplemental Figure X</w:t>
        </w:r>
      </w:ins>
      <w:r>
        <w:t xml:space="preserve">) further suggests that interference distances vary more in females than in males, and that males display a stronger telomeric bias in the placement of the distal crossover. </w:t>
      </w:r>
    </w:p>
    <w:p w14:paraId="2A6A6330" w14:textId="1382034F" w:rsidR="00404D7B" w:rsidRDefault="00A70004" w:rsidP="003A6557">
      <w:pPr>
        <w:pStyle w:val="BodyText"/>
        <w:spacing w:line="360" w:lineRule="auto"/>
      </w:pPr>
      <w:r>
        <w:t xml:space="preserve">In summary, controlling for differences in SC length (chromatin compaction) indicates that interference is </w:t>
      </w:r>
      <w:ins w:id="37" w:author="Bret Payseur" w:date="2020-06-29T08:47:00Z">
        <w:r w:rsidR="00816A2D">
          <w:t xml:space="preserve">consistently </w:t>
        </w:r>
      </w:ins>
      <w:r>
        <w:t xml:space="preserve">stronger in males, whereas interference on the physical scale is similar in the </w:t>
      </w:r>
      <w:ins w:id="38" w:author="Bret Payseur" w:date="2020-06-26T16:25:00Z">
        <w:r w:rsidR="00DF42E0">
          <w:t xml:space="preserve">two </w:t>
        </w:r>
      </w:ins>
      <w:r>
        <w:t>sexes.</w:t>
      </w:r>
    </w:p>
    <w:p w14:paraId="4E6BE9ED" w14:textId="77777777" w:rsidR="00404D7B" w:rsidRDefault="00A70004" w:rsidP="003A6557">
      <w:pPr>
        <w:pStyle w:val="Heading2"/>
        <w:spacing w:line="360" w:lineRule="auto"/>
      </w:pPr>
      <w:bookmarkStart w:id="39" w:name="X8ce7e5bd8caf09821799fb34b722f61c3f51871"/>
      <w:r>
        <w:t>Evolution of genome-wide recombination rate is dispersed across bivalents, associated with double-strand break number, and connected to crossover interference</w:t>
      </w:r>
      <w:bookmarkEnd w:id="39"/>
    </w:p>
    <w:p w14:paraId="1CF9F980" w14:textId="77777777" w:rsidR="00404D7B" w:rsidRDefault="00A70004" w:rsidP="003A6557">
      <w:pPr>
        <w:pStyle w:val="FirstParagraph"/>
        <w:spacing w:line="360" w:lineRule="auto"/>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 number, SC length, and crossover positioning.</w:t>
      </w:r>
    </w:p>
    <w:p w14:paraId="3CE55328" w14:textId="77777777" w:rsidR="00404D7B" w:rsidRDefault="00A70004" w:rsidP="003A6557">
      <w:pPr>
        <w:pStyle w:val="BodyText"/>
        <w:spacing w:line="360" w:lineRule="auto"/>
      </w:pPr>
      <w:r>
        <w:t>Ninety-six percent of single bivalents i</w:t>
      </w:r>
      <w:r w:rsidR="004229ED">
        <w:t>n our pooled dataset (n = 9,569</w:t>
      </w:r>
      <w:r>
        <w:t xml:space="preserve">) have either one or two MLH foci (Supplemental Figure 2). The proportions of single-focus (1CO) bivalents vs. double-focus (2CO) bivalents distinguish high-recombination strains from low-recombination strains (Supplemental Figure 2). 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molossinus</w:t>
      </w:r>
      <w:r>
        <w:rPr>
          <w:i/>
          <w:vertAlign w:val="superscript"/>
        </w:rPr>
        <w:t>MSM</w:t>
      </w:r>
      <w:r w:rsidR="00726B11">
        <w:t>: p = 0.37</w:t>
      </w:r>
      <w:r>
        <w:t xml:space="preserve">; </w:t>
      </w:r>
      <w:r>
        <w:rPr>
          <w:i/>
        </w:rPr>
        <w:t>musculus</w:t>
      </w:r>
      <w:r>
        <w:rPr>
          <w:i/>
          <w:vertAlign w:val="superscript"/>
        </w:rPr>
        <w:t>PWD</w:t>
      </w:r>
      <w:r>
        <w:t xml:space="preserve"> vs. </w:t>
      </w:r>
      <w:r>
        <w:rPr>
          <w:i/>
        </w:rPr>
        <w:t>musculus</w:t>
      </w:r>
      <w:r>
        <w:rPr>
          <w:i/>
          <w:vertAlign w:val="superscript"/>
        </w:rPr>
        <w:t>KAZ</w:t>
      </w:r>
      <w:r>
        <w:t>: p = 1.23</w:t>
      </w:r>
      <w:r w:rsidR="00726B11">
        <w:t xml:space="preserve"> x 10</w:t>
      </w:r>
      <w:r w:rsidRPr="00726B11">
        <w:rPr>
          <w:vertAlign w:val="superscript"/>
        </w:rPr>
        <w:t>-31</w:t>
      </w:r>
      <w:r>
        <w:t xml:space="preserve">; </w:t>
      </w:r>
      <w:r>
        <w:rPr>
          <w:i/>
        </w:rPr>
        <w:t>molossinus</w:t>
      </w:r>
      <w:r>
        <w:rPr>
          <w:i/>
          <w:vertAlign w:val="superscript"/>
        </w:rPr>
        <w:t>MSM</w:t>
      </w:r>
      <w:r>
        <w:t xml:space="preserve"> vs. </w:t>
      </w:r>
      <w:r>
        <w:rPr>
          <w:i/>
        </w:rPr>
        <w:t>molossinus</w:t>
      </w:r>
      <w:r>
        <w:rPr>
          <w:i/>
          <w:vertAlign w:val="superscript"/>
        </w:rPr>
        <w:t>MOLF</w:t>
      </w:r>
      <w:r>
        <w:t>: p = 2.34</w:t>
      </w:r>
      <w:r w:rsidR="00B71687">
        <w:t xml:space="preserve"> x </w:t>
      </w:r>
      <w:r w:rsidR="00707942">
        <w:t xml:space="preserve"> </w:t>
      </w:r>
      <w:r w:rsidR="00B71687">
        <w:t>10</w:t>
      </w:r>
      <w:del w:id="40" w:author="April Peterson" w:date="2020-06-30T13:50:00Z">
        <w:r w:rsidR="00B71687" w:rsidDel="00957CD7">
          <w:delText xml:space="preserve"> </w:delText>
        </w:r>
      </w:del>
      <w:r w:rsidR="00726B11">
        <w:rPr>
          <w:vertAlign w:val="superscript"/>
        </w:rPr>
        <w:t>-6</w:t>
      </w:r>
      <w:r>
        <w:t>). These results demonstrate that evolution of the genome-wide recombination rate reflects changes in crossover number across multiple bivalents.</w:t>
      </w:r>
    </w:p>
    <w:p w14:paraId="44B3ED16" w14:textId="77777777" w:rsidR="00404D7B" w:rsidRDefault="00A70004" w:rsidP="003A6557">
      <w:pPr>
        <w:pStyle w:val="BodyText"/>
        <w:spacing w:line="360" w:lineRule="auto"/>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 two high-recombination strains (</w:t>
      </w:r>
      <w:r>
        <w:rPr>
          <w:i/>
        </w:rPr>
        <w:t>musculus</w:t>
      </w:r>
      <w:r>
        <w:rPr>
          <w:i/>
          <w:vertAlign w:val="superscript"/>
        </w:rPr>
        <w:t>PWD</w:t>
      </w:r>
      <w:r>
        <w:t xml:space="preserve"> and </w:t>
      </w:r>
      <w:r>
        <w:rPr>
          <w:i/>
        </w:rPr>
        <w:t>molossinus</w:t>
      </w:r>
      <w:r>
        <w:rPr>
          <w:i/>
          <w:vertAlign w:val="superscript"/>
        </w:rPr>
        <w:t>MSM</w:t>
      </w:r>
      <w:r>
        <w:t>) and three low-recombination strains (</w:t>
      </w:r>
      <w:r>
        <w:rPr>
          <w:i/>
        </w:rPr>
        <w:t>musculus</w:t>
      </w:r>
      <w:r>
        <w:rPr>
          <w:i/>
          <w:vertAlign w:val="superscript"/>
        </w:rPr>
        <w:t>KAZ</w:t>
      </w:r>
      <w:r>
        <w:t xml:space="preserve">, </w:t>
      </w:r>
      <w:r>
        <w:rPr>
          <w:i/>
        </w:rPr>
        <w:t>domesticus</w:t>
      </w:r>
      <w:r>
        <w:rPr>
          <w:i/>
          <w:vertAlign w:val="superscript"/>
        </w:rPr>
        <w:t>WSB</w:t>
      </w:r>
      <w:r>
        <w:t xml:space="preserve">, and </w:t>
      </w:r>
      <w:r>
        <w:rPr>
          <w:i/>
        </w:rPr>
        <w:t>domesticus</w:t>
      </w:r>
      <w:r>
        <w:rPr>
          <w:i/>
          <w:vertAlign w:val="superscript"/>
        </w:rPr>
        <w:t>G</w:t>
      </w:r>
      <w:r>
        <w:t xml:space="preserve">). High-recombination strains have significantly more DMC1 foci than low-recombination strains in early zygotene cells (t-test; p &lt; </w:t>
      </w:r>
      <w:r w:rsidR="00707942">
        <w:t>10</w:t>
      </w:r>
      <w:r w:rsidR="00707942">
        <w:rPr>
          <w:vertAlign w:val="superscript"/>
        </w:rPr>
        <w:t>-6</w:t>
      </w:r>
      <w:r>
        <w:t>). In contrast, the two strain groups do not differ in DMC1 foci in late z</w:t>
      </w:r>
      <w:r w:rsidR="004229ED">
        <w:t>ygotene cells (t-test; p = 0.66</w:t>
      </w:r>
      <w:r>
        <w:t>).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 at least in house mice.</w:t>
      </w:r>
    </w:p>
    <w:p w14:paraId="18F27965" w14:textId="7033166A" w:rsidR="00816A2D" w:rsidRDefault="00A70004" w:rsidP="003A6557">
      <w:pPr>
        <w:pStyle w:val="BodyText"/>
        <w:spacing w:line="360" w:lineRule="auto"/>
      </w:pPr>
      <w:r>
        <w:t xml:space="preserve">Total SC length only partially differentiates high-recombination strains from low-recombination strains (Figure 3). Whereas high-recombination strains as a group have significantly greater total SC length than low-recombination strains (t-test; p = 0.01), separate tests within subspecies show that the two strain categories differ within </w:t>
      </w:r>
      <w:r>
        <w:rPr>
          <w:i/>
        </w:rPr>
        <w:t>M. m. molossinus</w:t>
      </w:r>
      <w:r>
        <w:t xml:space="preserve"> (p = 2.59</w:t>
      </w:r>
      <w:r w:rsidR="00B71687">
        <w:t xml:space="preserve"> x 10</w:t>
      </w:r>
      <w:r w:rsidR="00B71687" w:rsidRPr="00B71687">
        <w:rPr>
          <w:vertAlign w:val="superscript"/>
        </w:rPr>
        <w:t>-4</w:t>
      </w:r>
      <w:r>
        <w:t xml:space="preserve">) but not within </w:t>
      </w:r>
      <w:r>
        <w:rPr>
          <w:i/>
        </w:rPr>
        <w:t>M. m. musculus</w:t>
      </w:r>
      <w:r>
        <w:t xml:space="preserve"> (p = 0.65). Additionally, mouse means for the reduced (short and long) bivalent datasets do not differ between high-recombination and low-recombination strains (t-test; s</w:t>
      </w:r>
      <w:r w:rsidR="00BC0676">
        <w:t>hort: p = 0.84</w:t>
      </w:r>
      <w:r w:rsidR="004229ED">
        <w:t>; long: p = 0.19</w:t>
      </w:r>
      <w:r>
        <w:t>). In a model with total SC length as the dependent variable (M4), the two subspecies effects are significant (</w:t>
      </w:r>
      <w:r>
        <w:rPr>
          <w:i/>
        </w:rPr>
        <w:t>M. m. musculus</w:t>
      </w:r>
      <w:r>
        <w:t xml:space="preserve"> p = 3.95</w:t>
      </w:r>
      <w:r w:rsidR="00B71687">
        <w:t xml:space="preserve"> x 10</w:t>
      </w:r>
      <w:r w:rsidRPr="00B71687">
        <w:rPr>
          <w:vertAlign w:val="superscript"/>
        </w:rPr>
        <w:t>-7</w:t>
      </w:r>
      <w:r w:rsidR="007C3F94">
        <w:t>;</w:t>
      </w:r>
      <w:r>
        <w:t xml:space="preserve"> </w:t>
      </w:r>
      <w:r>
        <w:rPr>
          <w:i/>
        </w:rPr>
        <w:t>M. m. molossinus</w:t>
      </w:r>
      <w:r>
        <w:t xml:space="preserve"> p = 3.33</w:t>
      </w:r>
      <w:r w:rsidR="00B71687">
        <w:t xml:space="preserve"> x 10</w:t>
      </w:r>
      <w:r w:rsidRPr="00B71687">
        <w:rPr>
          <w:vertAlign w:val="superscript"/>
        </w:rPr>
        <w:t>-7</w:t>
      </w:r>
      <w:r>
        <w:t xml:space="preserve">), </w:t>
      </w:r>
      <w:r w:rsidR="007C3F94">
        <w:t>but there</w:t>
      </w:r>
      <w:r>
        <w:t xml:space="preserve"> are also strain</w:t>
      </w:r>
      <w:r w:rsidR="007C3F94">
        <w:t>-</w:t>
      </w:r>
      <w:r>
        <w:t>specific effects (Supplemental Table 6).</w:t>
      </w:r>
      <w:r w:rsidR="007C3F94">
        <w:t xml:space="preserve"> </w:t>
      </w:r>
      <w:r>
        <w:t xml:space="preserve">In models with SC lengths of short and long bivalents as dependent variables, several subspecies and strain effects reach significance (p &lt; 0.05) (Supplemental Table 9), but they are not consistent across models. Collectively, these results reveal that evolution of SC length is not strongly associated with evolution of genome-wide recombination rate in house mice. </w:t>
      </w:r>
    </w:p>
    <w:p w14:paraId="72754424" w14:textId="018CFDD5" w:rsidR="00404D7B" w:rsidRDefault="00A70004" w:rsidP="003A6557">
      <w:pPr>
        <w:pStyle w:val="BodyText"/>
        <w:spacing w:line="360" w:lineRule="auto"/>
      </w:pPr>
      <w:r>
        <w:t>In summary, evolution of the genome-wide recombination rate in males is connected to double-strand break number and crossover interference, but not to SC length and crossover position (on single-crossover bivalents).</w:t>
      </w:r>
    </w:p>
    <w:p w14:paraId="17C3FEFC" w14:textId="77777777" w:rsidR="00404D7B" w:rsidRDefault="00A70004" w:rsidP="003A6557">
      <w:pPr>
        <w:pStyle w:val="Heading1"/>
        <w:spacing w:line="360" w:lineRule="auto"/>
      </w:pPr>
      <w:bookmarkStart w:id="41" w:name="discussion"/>
      <w:r>
        <w:t>DISCUSSION</w:t>
      </w:r>
      <w:bookmarkEnd w:id="41"/>
    </w:p>
    <w:p w14:paraId="5519BE38" w14:textId="06F6CD12" w:rsidR="00404D7B" w:rsidRDefault="00A70004" w:rsidP="003A6557">
      <w:pPr>
        <w:pStyle w:val="FirstParagraph"/>
        <w:spacing w:line="360" w:lineRule="auto"/>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More generally, recombination rate divergence is decoupled in females and males. These disparities are remarkable given that recombination rates for the two sexes were measured in identical genomic backgrounds (other than the </w:t>
      </w:r>
      <w:r w:rsidR="00954D8B">
        <w:t>number and identity of sex chromosomes</w:t>
      </w:r>
      <w:r>
        <w:t>). Our results provide the strongest evidence yet that the genome-wide recombination rate follows distinct evolutionary trajectories in males and females.</w:t>
      </w:r>
    </w:p>
    <w:p w14:paraId="57A35EC8" w14:textId="6CA36C00" w:rsidR="00404D7B" w:rsidRDefault="00A70004" w:rsidP="003A6557">
      <w:pPr>
        <w:pStyle w:val="BodyText"/>
        <w:spacing w:line="360" w:lineRule="auto"/>
      </w:pPr>
      <w:r>
        <w:t xml:space="preserve">At the genetic level, the sex-specific </w:t>
      </w:r>
      <w:r w:rsidR="004A26D7">
        <w:t xml:space="preserve">patterns </w:t>
      </w:r>
      <w:r>
        <w:t xml:space="preserve">we documented indicate that some mutations responsible for </w:t>
      </w:r>
      <w:r w:rsidR="004A26D7">
        <w:t>the evolution of</w:t>
      </w:r>
      <w:r>
        <w:t xml:space="preserve"> recombination rate have dissimilar phenotypic effects in </w:t>
      </w:r>
      <w:r w:rsidR="00954D8B">
        <w:t>the two sexes</w:t>
      </w:r>
      <w:r>
        <w:t>. A subset of the genetic variants associated with genome-wide recombination rate within populations</w:t>
      </w:r>
      <w:r w:rsidR="001D5A46">
        <w:t xml:space="preserve"> of humans (Kong et al., 2004, </w:t>
      </w:r>
      <w:r>
        <w:t>2008, 2014; Halldorsson et al., 2019), Soay sheep (Johnston et al., 2016), and cattle (Ma et al., 2015; Shen et al., 2018) appear to show sex-specific properties, including opposite effects in females and males. Furthermore, inter-sexual correlations for recombination rate are weak in humans (Fledel-Alon et al., 2011) and Soay sheep (Johnston et al., 2016). Crosses between the strains we surveyed could be used to identify and characterize the genetic variants responsible for recombination rate evolution in house mice (Dumont and Payseur, 2011; Wang et al., 2019; Wang and Payseur, 2017).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 to sex-specific evolution in the recombination rate. A study of two classical inbred strains and one wild-derived inbred strain of house mice also found a positive association between crossover number and double-strand break number in males (Baier et al., 2014).</w:t>
      </w:r>
    </w:p>
    <w:p w14:paraId="317802D6" w14:textId="77777777" w:rsidR="00404D7B" w:rsidRDefault="00A70004" w:rsidP="003A6557">
      <w:pPr>
        <w:pStyle w:val="BodyText"/>
        <w:spacing w:line="360" w:lineRule="auto"/>
      </w:pPr>
      <w:r>
        <w:t xml:space="preserve">Another implication of our results is that the connection between recombination rate and fitness differs between males and females. Little is known about whether and how natural selection shapes recombination rate in nature (Dapper and Payseur, 2017; Ritz et al., 2017). Samuk et al. (2020) recently used a quantitative genetic test to conclude that an 8% difference in genome-wide recombination rate between females from two populations of </w:t>
      </w:r>
      <w:r>
        <w:rPr>
          <w:i/>
        </w:rPr>
        <w:t>Drosophila pseudoobscura</w:t>
      </w:r>
      <w:r>
        <w:t xml:space="preserve"> was caused by natural selection. Applying similar strategies to species in which both sexes recombine, including house mice, would be a logical next step to understanding the sex-specific evolution of recombination rate.</w:t>
      </w:r>
    </w:p>
    <w:p w14:paraId="64119FF6" w14:textId="77777777" w:rsidR="00404D7B" w:rsidRDefault="00A70004" w:rsidP="003A6557">
      <w:pPr>
        <w:pStyle w:val="BodyText"/>
        <w:spacing w:line="360" w:lineRule="auto"/>
      </w:pPr>
      <w:r>
        <w:t>Population genetic models have been built to explain sexual dimorphism in the number and placement of crossovers, which is a common phenomenon (Brandvain and Coop, 2012; Sardell and Kirkpatrick, 2020). Modifier models predicted that lower recombination rates in males will result from haploid selection (Lenormand, 2003) or sexually antagonistic selection on coding and cis-regulatory regions of genes (Sardell and Kirkpatrick, 2020). Another modifier model showed that meiotic drive could stimulate female-specific 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13328081" w14:textId="42A311B1" w:rsidR="00404D7B" w:rsidRDefault="00A70004" w:rsidP="003A6557">
      <w:pPr>
        <w:pStyle w:val="BodyText"/>
        <w:spacing w:line="360" w:lineRule="auto"/>
      </w:pPr>
      <w:r>
        <w:t xml:space="preserve">We propose an alternative interpretation of our findings based on the cell biology of gametogenesis. During meiosis, achieving a stable chromosome structure requires the attachment of kinetochores to opposite poles of the cell and at least one crossover to create tension across the sister chromosome cohesion distal to chiasmata (Dumont and Desai, 2012; Lane and Kauppi, 2019; Subramanian and Hochwagen, 2014; VanVeen and Hawley, 2003). The spindle assembly checkpoint (SAC) prevents aneuploidy by ensuring that all bivalents are correctly attached to the microtubule spindle (“bi-oriented”) before starting the metaphase-to-anaphase transition via the release of the sister cohesion holding homologs together (Lane and Kauppi, 2019). Hence, selection seems likely to favor mutations that optimize the process of bi-orientation and chromosome separation, thereby prohibiting the SAC from delaying the cell cycle or triggering apoptosis. </w:t>
      </w:r>
      <w:commentRangeStart w:id="42"/>
      <w:r>
        <w:t xml:space="preserve">Multiple lines of evidence indicate that the SAC is more effective in spermatogenesis than in oogenesis (Lane and Kauppi, 2019), perhaps due to the presence of the </w:t>
      </w:r>
      <w:ins w:id="43" w:author="April Peterson" w:date="2020-06-30T13:57:00Z">
        <w:r w:rsidR="00B81613">
          <w:t>a</w:t>
        </w:r>
      </w:ins>
      <w:r>
        <w:t>centrosome spindle (So et al., 2019) and larger cell volume (Kyogoku and Kitajima, 2017) in oocytes</w:t>
      </w:r>
      <w:commentRangeEnd w:id="42"/>
      <w:r w:rsidR="00B81613">
        <w:rPr>
          <w:rStyle w:val="CommentReference"/>
        </w:rPr>
        <w:commentReference w:id="42"/>
      </w:r>
      <w:r>
        <w:t>.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13788A11" w14:textId="1CECF015" w:rsidR="00404D7B" w:rsidRDefault="00A70004" w:rsidP="003A6557">
      <w:pPr>
        <w:pStyle w:val="BodyText"/>
        <w:spacing w:line="360" w:lineRule="auto"/>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Faster spermatogenesis may select for synchronization of the separation across all homologs within the cell (Kudo et al., 2009), whereas in oogenesis, the slower cell cycle and multiple arrest stages may require chromosome structures with greater stability on the </w:t>
      </w:r>
      <w:r w:rsidR="004A26D7">
        <w:t>meiosis I</w:t>
      </w:r>
      <w:r>
        <w:t xml:space="preserve"> spindle, especially for those organisms that undergo dictyate arrest (Lee, 2019).</w:t>
      </w:r>
    </w:p>
    <w:p w14:paraId="1255604E" w14:textId="4A7E451D" w:rsidR="00404D7B" w:rsidRDefault="00A70004" w:rsidP="003A6557">
      <w:pPr>
        <w:pStyle w:val="BodyText"/>
        <w:spacing w:line="360" w:lineRule="auto"/>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w:t>
      </w:r>
      <w:r w:rsidR="004A26D7">
        <w:t>considered</w:t>
      </w:r>
      <w:r>
        <w:t xml:space="preserve"> and </w:t>
      </w:r>
      <w:ins w:id="44" w:author="Bret Payseur" w:date="2020-06-30T08:46:00Z">
        <w:r w:rsidR="004A26D7">
          <w:t xml:space="preserve">bivalent </w:t>
        </w:r>
      </w:ins>
      <w:r>
        <w:t>size effects are minimized. Assuming chromatin compaction between (prophase) pachytene and metaphase is uniform along bivalents, this increased spacing is expected to expand the area for sister cohesion to connect homologs and may improve the fidelity of chromosomal segregation. While the SAC model postulates direct fitness effects of interference, a modifier model predicted that indirect selection on recombination rate – via its modulation of offspring genotypes – can strengthen interference as well (Goldstein et al., 1993).</w:t>
      </w:r>
    </w:p>
    <w:p w14:paraId="705C57AA" w14:textId="4A930C79" w:rsidR="00404D7B" w:rsidRDefault="00A70004" w:rsidP="003A6557">
      <w:pPr>
        <w:pStyle w:val="BodyText"/>
        <w:spacing w:line="360" w:lineRule="auto"/>
      </w:pPr>
      <w:r>
        <w:t>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(Ma et al.</w:t>
      </w:r>
      <w:ins w:id="45" w:author="Bret Payseur" w:date="2020-06-26T16:33:00Z">
        <w:r w:rsidR="007C3F94">
          <w:t xml:space="preserve">, </w:t>
        </w:r>
      </w:ins>
      <w:del w:id="46" w:author="Bret Payseur" w:date="2020-06-26T16:33:00Z">
        <w:r w:rsidDel="007C3F94">
          <w:delText xml:space="preserve"> (</w:delText>
        </w:r>
      </w:del>
      <w:r>
        <w:t>2015</w:t>
      </w:r>
      <w:ins w:id="47" w:author="Bret Payseur" w:date="2020-06-30T08:51:00Z">
        <w:r w:rsidR="00084251">
          <w:t>)</w:t>
        </w:r>
      </w:ins>
      <w:del w:id="48" w:author="Bret Payseur" w:date="2020-06-26T16:33:00Z">
        <w:r w:rsidDel="007C3F94">
          <w:delText>)</w:delText>
        </w:r>
      </w:del>
      <w:del w:id="49" w:author="Bret Payseur" w:date="2020-06-30T08:51:00Z">
        <w:r w:rsidDel="00084251">
          <w:delText xml:space="preserve">) and </w:delText>
        </w:r>
        <w:commentRangeStart w:id="50"/>
        <w:r w:rsidDel="00084251">
          <w:delText xml:space="preserve">differences between </w:delText>
        </w:r>
      </w:del>
      <w:del w:id="51" w:author="Bret Payseur" w:date="2020-06-30T08:47:00Z">
        <w:r w:rsidDel="004A26D7">
          <w:delText>wild and captive</w:delText>
        </w:r>
      </w:del>
      <w:del w:id="52" w:author="Bret Payseur" w:date="2020-06-30T08:51:00Z">
        <w:r w:rsidDel="00084251">
          <w:delText xml:space="preserve"> white-footed mice (Peterson et al., 2019</w:delText>
        </w:r>
      </w:del>
      <w:del w:id="53" w:author="Bret Payseur" w:date="2020-06-30T08:50:00Z">
        <w:r w:rsidDel="00084251">
          <w:delText>)</w:delText>
        </w:r>
      </w:del>
      <w:commentRangeEnd w:id="50"/>
      <w:r w:rsidR="00084251">
        <w:rPr>
          <w:rStyle w:val="CommentReference"/>
        </w:rPr>
        <w:commentReference w:id="50"/>
      </w:r>
      <w:r>
        <w:t xml:space="preserve">. In contrast, mammalian species with stronger interference tend to exhibit lower genome-wide recombination rates (Otto and Payseur, 2019; Segura et al., 2013). </w:t>
      </w:r>
      <w:r w:rsidR="00084251">
        <w:t>The evolution of crossover interference and its relationship to changes in crossover number on the genomic scale is a topic deserving of more empirical and theoretical work.</w:t>
      </w:r>
    </w:p>
    <w:p w14:paraId="219C11F7" w14:textId="048FE98C" w:rsidR="00404D7B" w:rsidRDefault="00A70004" w:rsidP="003A6557">
      <w:pPr>
        <w:pStyle w:val="BodyText"/>
        <w:spacing w:line="360" w:lineRule="auto"/>
      </w:pPr>
      <w:r>
        <w:t xml:space="preserve">Our findings further reveal that evolution of the genome-wide recombination rate does not require major changes in the degree of chromatin compaction. Female house mice consistently show longer SCs, even in strains with more recombination in males. Studies in mice (Lynn et al., 2002; Petkov et al., 2007) and humans (Gruhn et al., 2013; Tease and Hulten, 2004) suggest that chromosomal axes are longer (and DNA loops are shorter) in females than males. Some authors have suggested that conserved sex differences in crossover positioning (more uniform placement in females) and interference strength (stronger interference in males) could be due to looser chromatin packing of the meiotic chromosome structure in females (Haenel et al., 2018; Petkov et al., 2007). A cellular model designed to explain interference attributes sexual dimorphism in chromatin structure to greater cell volumes and oscillatory movements of telomeres and kinetochores in oocytes (Hultén, 2011). Recent work in mice connects the sparser recombination landscape in females to sex differences in the crossover maturation efficiency </w:t>
      </w:r>
      <w:commentRangeStart w:id="54"/>
      <w:r>
        <w:t>(</w:t>
      </w:r>
      <w:commentRangeStart w:id="55"/>
      <w:r>
        <w:t xml:space="preserve">Wang </w:t>
      </w:r>
      <w:ins w:id="56" w:author="April Peterson" w:date="2020-06-30T14:03:00Z">
        <w:r w:rsidR="00B81613">
          <w:t xml:space="preserve">S. </w:t>
        </w:r>
      </w:ins>
      <w:r>
        <w:t>et al., 2017</w:t>
      </w:r>
      <w:commentRangeEnd w:id="55"/>
      <w:r w:rsidR="007C3F94">
        <w:rPr>
          <w:rStyle w:val="CommentReference"/>
        </w:rPr>
        <w:commentReference w:id="55"/>
      </w:r>
      <w:r>
        <w:t>).</w:t>
      </w:r>
      <w:commentRangeEnd w:id="54"/>
      <w:r w:rsidR="00B81613">
        <w:rPr>
          <w:rStyle w:val="CommentReference"/>
        </w:rPr>
        <w:commentReference w:id="54"/>
      </w:r>
    </w:p>
    <w:p w14:paraId="7B69F849" w14:textId="747FF4EC" w:rsidR="00404D7B" w:rsidRDefault="00A70004" w:rsidP="003A6557">
      <w:pPr>
        <w:pStyle w:val="BodyText"/>
        <w:spacing w:line="360" w:lineRule="auto"/>
      </w:pPr>
      <w:r>
        <w:t>Our conclusions are accompanied by several caveats. First, MLH1 foci only identify interfering crossovers (Holloway et al., 2008). Although most crossovers belong to this class (Holloway et al., 2008), our approach likely underestimated genome-wide recombination rates. Evolution of the number of non-interfering crossovers is a</w:t>
      </w:r>
      <w:r w:rsidR="00E85A38">
        <w:t xml:space="preserve"> subject</w:t>
      </w:r>
      <w:r>
        <w:t xml:space="preserve"> worth examining. A second limitation is that our investigation of crossover locations was confined to the relatively low resolution possible with immunofluorescent cytology. Positioning crossovers with higher resolution </w:t>
      </w:r>
      <w:ins w:id="57" w:author="April Peterson" w:date="2020-06-30T14:04:00Z">
        <w:r w:rsidR="00B81613">
          <w:t>and maintain</w:t>
        </w:r>
      </w:ins>
      <w:ins w:id="58" w:author="April Peterson" w:date="2020-06-30T14:05:00Z">
        <w:r w:rsidR="00B81613">
          <w:t xml:space="preserve">ing single chromosome scale </w:t>
        </w:r>
      </w:ins>
      <w:r>
        <w:t>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primary conclusion that recombination rate evolves in a sex-specific manner to be robust to geographic sampling because differences between females and males exist for the same set of inbred strains.</w:t>
      </w:r>
    </w:p>
    <w:p w14:paraId="2B66F445" w14:textId="276BCE43" w:rsidR="00404D7B" w:rsidRDefault="00A70004" w:rsidP="004229ED">
      <w:pPr>
        <w:pStyle w:val="BodyText"/>
        <w:spacing w:line="360" w:lineRule="auto"/>
      </w:pPr>
      <w:r>
        <w:t xml:space="preserve">While the causes of sex differences in recombination remain mysterious </w:t>
      </w:r>
      <w:ins w:id="59" w:author="Bret Payseur" w:date="2020-06-30T08:57:00Z">
        <w:r w:rsidR="00E85A38">
          <w:t>(</w:t>
        </w:r>
      </w:ins>
      <w:r>
        <w:t>Lenormand et al.</w:t>
      </w:r>
      <w:r w:rsidR="00E85A38">
        <w:t>,</w:t>
      </w:r>
      <w:r>
        <w:t xml:space="preserve"> 2016),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14:paraId="27B5B656" w14:textId="77777777" w:rsidR="00404D7B" w:rsidRDefault="00A70004" w:rsidP="003A6557">
      <w:pPr>
        <w:pStyle w:val="Heading1"/>
        <w:spacing w:line="360" w:lineRule="auto"/>
      </w:pPr>
      <w:bookmarkStart w:id="60" w:name="materials-and-methods"/>
      <w:r>
        <w:t>MATERIALS AND METHODS</w:t>
      </w:r>
      <w:bookmarkEnd w:id="60"/>
    </w:p>
    <w:p w14:paraId="0120CEB9" w14:textId="77777777" w:rsidR="00404D7B" w:rsidRDefault="00A70004" w:rsidP="003A6557">
      <w:pPr>
        <w:pStyle w:val="Heading3"/>
        <w:spacing w:line="360" w:lineRule="auto"/>
      </w:pPr>
      <w:bookmarkStart w:id="61" w:name="mice"/>
      <w:r>
        <w:t>Mice</w:t>
      </w:r>
      <w:bookmarkEnd w:id="61"/>
    </w:p>
    <w:p w14:paraId="62A73BA3" w14:textId="4AF766E8" w:rsidR="00404D7B" w:rsidRDefault="00A70004" w:rsidP="003A6557">
      <w:pPr>
        <w:pStyle w:val="FirstParagraph"/>
        <w:spacing w:line="360" w:lineRule="auto"/>
      </w:pPr>
      <w:r>
        <w:t xml:space="preserve"> We used a panel of wild-derived inbred strains of house mice (</w:t>
      </w:r>
      <w:r>
        <w:rPr>
          <w:i/>
        </w:rPr>
        <w:t>Mus musculus</w:t>
      </w:r>
      <w:r>
        <w:t xml:space="preserve">) and related murid species to profile natural genetic variation in recombination (Table 1). </w:t>
      </w:r>
      <w:commentRangeStart w:id="62"/>
      <w:r>
        <w:t xml:space="preserve">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r>
        <w:rPr>
          <w:i/>
        </w:rPr>
        <w:t>M. spicilegus</w:t>
      </w:r>
      <w:r>
        <w:t xml:space="preserve">, </w:t>
      </w:r>
      <w:r>
        <w:rPr>
          <w:i/>
        </w:rPr>
        <w:t>M. spretus</w:t>
      </w:r>
      <w:r>
        <w:t xml:space="preserve"> and </w:t>
      </w:r>
      <w:r>
        <w:rPr>
          <w:i/>
        </w:rPr>
        <w:t>M. caroli</w:t>
      </w:r>
      <w:r>
        <w:t xml:space="preserve">. </w:t>
      </w:r>
      <w:commentRangeEnd w:id="62"/>
      <w:r w:rsidR="0008652A">
        <w:rPr>
          <w:rStyle w:val="CommentReference"/>
        </w:rPr>
        <w:commentReference w:id="62"/>
      </w:r>
      <w:r>
        <w:t>We subsequently denote strains by their abbreviated subspecies and name (e.g. </w:t>
      </w:r>
      <w:r>
        <w:rPr>
          <w:i/>
        </w:rPr>
        <w:t>domesticus</w:t>
      </w:r>
      <w:r>
        <w:rPr>
          <w:i/>
          <w:vertAlign w:val="superscript"/>
        </w:rPr>
        <w:t>WSB</w:t>
      </w:r>
      <w:r>
        <w:t>). Mice were housed at dedicated, temperature-controlled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17 generations of brother-sister mating. All mice were provided with ad libitum food and water. Procedures followed protocols approved by IACUC.</w:t>
      </w:r>
      <w:ins w:id="63" w:author="April Peterson" w:date="2020-06-30T14:07:00Z">
        <w:r w:rsidR="0008652A">
          <w:t xml:space="preserve"> (biological replicates)</w:t>
        </w:r>
      </w:ins>
    </w:p>
    <w:p w14:paraId="44A7D167" w14:textId="77777777" w:rsidR="00404D7B" w:rsidRDefault="00A70004" w:rsidP="003A6557">
      <w:pPr>
        <w:pStyle w:val="Heading3"/>
        <w:spacing w:line="360" w:lineRule="auto"/>
      </w:pPr>
      <w:bookmarkStart w:id="64" w:name="X8f47e61d9abd1c9f775d406441822a9ab99126d"/>
      <w:r>
        <w:t>Tissue Collection and Immunohistochemistry</w:t>
      </w:r>
      <w:bookmarkEnd w:id="64"/>
    </w:p>
    <w:p w14:paraId="75194504" w14:textId="7CA80234" w:rsidR="00404D7B" w:rsidRDefault="00A70004" w:rsidP="003A6557">
      <w:pPr>
        <w:pStyle w:val="FirstParagraph"/>
        <w:spacing w:line="360" w:lineRule="auto"/>
      </w:pPr>
      <w:r>
        <w:t>The same dry-down spread technique was applied to both spermatocytes and oocytes, following (Peters et al., 1997), with adjustment for volumes. Spermatocyte spreads were collected and prepared as described in (Peterson et al., 2019). The majority of mice used for MLH1 counts were between 5 and 12 weeks of age. Juvenile mice between 12 and 15 days of age were used for DMC1 counts.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diluted 1:200). Slides were stored at -20*C if not stained immediately. 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ins w:id="65" w:author="April Peterson" w:date="2020-06-30T14:09:00Z">
        <w:r w:rsidR="0008652A">
          <w:t xml:space="preserve"> (technical replicates)</w:t>
        </w:r>
      </w:ins>
    </w:p>
    <w:p w14:paraId="65799A2B" w14:textId="77777777" w:rsidR="00404D7B" w:rsidRDefault="00A70004" w:rsidP="003A6557">
      <w:pPr>
        <w:pStyle w:val="Heading3"/>
        <w:spacing w:line="360" w:lineRule="auto"/>
      </w:pPr>
      <w:bookmarkStart w:id="66" w:name="image-processing"/>
      <w:r>
        <w:t>Image Processing</w:t>
      </w:r>
      <w:bookmarkEnd w:id="66"/>
    </w:p>
    <w:p w14:paraId="051C5D3C" w14:textId="77777777" w:rsidR="00404D7B" w:rsidRDefault="00A70004" w:rsidP="003A6557">
      <w:pPr>
        <w:pStyle w:val="FirstParagraph"/>
        <w:spacing w:line="360" w:lineRule="auto"/>
      </w:pPr>
      <w:r>
        <w:t>Images were captured using a Zeiss Axioplan 2 microscope with AxioLab camera and AxioVision software (Zeiss, Cambridge, UK). Preprocessing, including cropping, noise reduction, and histogram adjustments, was performed using Photoshop (v13.0). Image file names were anonymized before manual scoring of MLH1 foci or DMC1 foci using Photoshop.</w:t>
      </w:r>
    </w:p>
    <w:p w14:paraId="2C3172B5" w14:textId="77777777" w:rsidR="00404D7B" w:rsidRDefault="00A70004" w:rsidP="003A6557">
      <w:pPr>
        <w:pStyle w:val="Heading3"/>
        <w:spacing w:line="360" w:lineRule="auto"/>
      </w:pPr>
      <w:bookmarkStart w:id="67" w:name="analysis"/>
      <w:r>
        <w:t>Analysis</w:t>
      </w:r>
      <w:bookmarkEnd w:id="67"/>
    </w:p>
    <w:p w14:paraId="000A4E2B" w14:textId="77777777" w:rsidR="00404D7B" w:rsidRDefault="00A70004" w:rsidP="003A6557">
      <w:pPr>
        <w:pStyle w:val="FirstParagraph"/>
        <w:spacing w:line="360" w:lineRule="auto"/>
      </w:pPr>
      <w:r>
        <w:t>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each of a subset of strains (</w:t>
      </w:r>
      <w:r>
        <w:rPr>
          <w:i/>
        </w:rPr>
        <w:t>molossinus</w:t>
      </w:r>
      <w:r>
        <w:rPr>
          <w:i/>
          <w:vertAlign w:val="superscript"/>
        </w:rPr>
        <w:t>MSM</w:t>
      </w:r>
      <w:r>
        <w:t xml:space="preserve">, </w:t>
      </w:r>
      <w:r>
        <w:rPr>
          <w:i/>
        </w:rPr>
        <w:t>musculus</w:t>
      </w:r>
      <w:r>
        <w:rPr>
          <w:i/>
          <w:vertAlign w:val="superscript"/>
        </w:rPr>
        <w:t>PWD</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were used to stage spermatocytes as early zygotene or late zygotene.</w:t>
      </w:r>
    </w:p>
    <w:p w14:paraId="266574E1" w14:textId="03956213" w:rsidR="00404D7B" w:rsidRDefault="00A70004" w:rsidP="003A6557">
      <w:pPr>
        <w:pStyle w:val="BodyText"/>
        <w:spacing w:line="360" w:lineRule="auto"/>
      </w:pPr>
      <w:r>
        <w:t>To measure bivalent SC length, two image analysis algorithms were used. The first algorithm estimates the total (summed) SC length across bivalents for individual cells (Wang et al.</w:t>
      </w:r>
      <w:ins w:id="68" w:author="Bret Payseur" w:date="2020-06-25T10:38:00Z">
        <w:r w:rsidR="0044464C">
          <w:t xml:space="preserve">, </w:t>
        </w:r>
      </w:ins>
      <w:r>
        <w:t>2019). The second algorithm estimates the SC length of individual bivalents (Peterson et al.</w:t>
      </w:r>
      <w:ins w:id="69" w:author="Bret Payseur" w:date="2020-06-25T10:38:00Z">
        <w:r w:rsidR="0044464C">
          <w:t xml:space="preserve">, </w:t>
        </w:r>
      </w:ins>
      <w:del w:id="70" w:author="Bret Payseur" w:date="2020-06-25T10:38:00Z">
        <w:r w:rsidDel="0044464C">
          <w:delText xml:space="preserve"> (</w:delText>
        </w:r>
      </w:del>
      <w:r>
        <w:t>2019</w:t>
      </w:r>
      <w:del w:id="71" w:author="Bret Payseur" w:date="2020-06-25T10:38:00Z">
        <w:r w:rsidDel="0044464C">
          <w:delText>)</w:delText>
        </w:r>
      </w:del>
      <w:r>
        <w:t xml:space="preserve">). Both algorithms apply a ‘skeletonizing’ transformation to synapsed chromosomes that produces a single, pixel-wide ‘trace’ of the bivalent shape. Total SC length per cell was quantified from pachytene cell images </w:t>
      </w:r>
      <w:commentRangeStart w:id="72"/>
      <w:r>
        <w:t>(Wang et al.</w:t>
      </w:r>
      <w:ins w:id="73" w:author="Bret Payseur" w:date="2020-06-25T10:38:00Z">
        <w:r w:rsidR="0044464C">
          <w:t xml:space="preserve">, </w:t>
        </w:r>
      </w:ins>
      <w:del w:id="74" w:author="Bret Payseur" w:date="2020-06-25T10:38:00Z">
        <w:r w:rsidDel="0044464C">
          <w:delText xml:space="preserve"> (</w:delText>
        </w:r>
      </w:del>
      <w:r>
        <w:t>2019</w:t>
      </w:r>
      <w:del w:id="75" w:author="Bret Payseur" w:date="2020-06-25T10:38:00Z">
        <w:r w:rsidDel="0044464C">
          <w:delText>)</w:delText>
        </w:r>
      </w:del>
      <w:r>
        <w:t>).</w:t>
      </w:r>
      <w:commentRangeEnd w:id="72"/>
      <w:r w:rsidR="0008652A">
        <w:rPr>
          <w:rStyle w:val="CommentReference"/>
        </w:rPr>
        <w:commentReference w:id="72"/>
      </w:r>
    </w:p>
    <w:p w14:paraId="1D41AA7E" w14:textId="2A053722" w:rsidR="00404D7B" w:rsidRDefault="00A70004" w:rsidP="003A6557">
      <w:pPr>
        <w:pStyle w:val="BodyText"/>
        <w:spacing w:line="360" w:lineRule="auto"/>
      </w:pPr>
      <w:r>
        <w:t>To reduce algorithmic errors in SC isolation, outliers were visually identified at the mouse level and removed from the data set. Mouse averages were calculated from cell-wide total SC lengths in 3,195 out of 3,871 cells with MLH1 counts. SC length of individual bivalents was quantified in pachytene cell images (Peterson et al.</w:t>
      </w:r>
      <w:ins w:id="76" w:author="April Peterson" w:date="2020-06-30T14:10:00Z">
        <w:r w:rsidR="0008652A">
          <w:t>,</w:t>
        </w:r>
      </w:ins>
      <w:r>
        <w:t xml:space="preserve"> </w:t>
      </w:r>
      <w:del w:id="77" w:author="April Peterson" w:date="2020-06-30T14:10:00Z">
        <w:r w:rsidDel="0008652A">
          <w:delText>(</w:delText>
        </w:r>
      </w:del>
      <w:r>
        <w:t>2019</w:t>
      </w:r>
      <w:del w:id="78" w:author="April Peterson" w:date="2020-06-30T14:10:00Z">
        <w:r w:rsidDel="0008652A">
          <w:delText>)</w:delText>
        </w:r>
      </w:del>
      <w:r>
        <w:t>). The DNA CrossOver algorithm (Peterson et al.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female). From the total set of pachytene cell images, 10,213 bivalent objects were isolated by the algorithm. Following a manual curation, 9,569 single-bivalent observations remained. The accuracy of the algorithm is high compared to hand measures after this curation step (Peterson et al., 2019). The curated single bivalent data supplements our cell-wide MLH1 count data with MLH1 foci counts for single bivalents. Proportions of bivalents with the same number of MLH1 foci were compared across strains using a chi-square test.</w:t>
      </w:r>
    </w:p>
    <w:p w14:paraId="7B366136" w14:textId="77777777" w:rsidR="00404D7B" w:rsidRDefault="00A70004" w:rsidP="003A6557">
      <w:pPr>
        <w:pStyle w:val="BodyText"/>
        <w:spacing w:line="360" w:lineRule="auto"/>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 and excluded the X bivalent in oocytes. A total of 699 short bivalents were isolated from 102 oocytes and 42 spermatocytes. Although this smaller data set has decreased power, it offers a more comparable set of single bivalents to compare between the sexes. A “long bivalent” data set was formed from those bivalents above the 4th quartile in SC lengths per cell. A total of 703 long bivalents were isolated from 102 oocytes and 42 spermatocytes.</w:t>
      </w:r>
    </w:p>
    <w:p w14:paraId="703C52B8" w14:textId="77777777" w:rsidR="00404D7B" w:rsidRDefault="00A70004" w:rsidP="003A6557">
      <w:pPr>
        <w:pStyle w:val="BodyText"/>
        <w:spacing w:line="360" w:lineRule="auto"/>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553E51A8" w14:textId="77777777" w:rsidR="00404D7B" w:rsidRDefault="00A70004" w:rsidP="003A6557">
      <w:pPr>
        <w:pStyle w:val="BodyText"/>
        <w:spacing w:line="360" w:lineRule="auto"/>
      </w:pPr>
      <w:r>
        <w:t>We used a series of statistical models to interpret patterns of variation in the recombination traits we measured (Table 2). We used mouse average as the dependent variable in all analyses. We first constructed a linear mixed model (M1) using lmer() from the lmer4 package (Bates et al., 2015) in R (v3.5.2) (Team, 2015). In this model, strain was coded as a random effect, with significance evaluated using a likelihood ratio test (using exactRLRT() from RLRsim (Scheipl et al., 2008)). Subspecies, sex, and their interaction were coded as fixed effects, with significance evaluated using a chi-square test comparing the full and reduced models (drop1() and anova()) (Bates et al., 2015). The hierarchal nature of the data, meant that nesting of levels across observations was implicit (ie. mouse within strain, within subspecies) and not explicitly coded. We used the subspecies effect to quantify divergence between subspecies and the (random) strain effect to quantify variation within subspecies in a sex-specific manner. In separate analyses using model M1,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and average MLH1 position (for single-focus bivalents). Four additional linear models containing only fixed effects (M2-M5) (Table 2) were used to further investigate results obtained from model M1.</w:t>
      </w:r>
    </w:p>
    <w:p w14:paraId="52CF7AC3" w14:textId="0340FE6F" w:rsidR="00404D7B" w:rsidRDefault="00A70004" w:rsidP="003A6557">
      <w:pPr>
        <w:pStyle w:val="Heading1"/>
        <w:spacing w:line="360" w:lineRule="auto"/>
      </w:pPr>
      <w:bookmarkStart w:id="79" w:name="acknowledgements"/>
      <w:r>
        <w:t>Acknowledgements</w:t>
      </w:r>
      <w:bookmarkEnd w:id="79"/>
    </w:p>
    <w:p w14:paraId="6F6D8FA9" w14:textId="2D0C0514" w:rsidR="007C3F94" w:rsidRPr="007C3F94" w:rsidRDefault="007C3F94">
      <w:pPr>
        <w:pStyle w:val="BodyText"/>
        <w:spacing w:after="200" w:line="360" w:lineRule="auto"/>
        <w:pPrChange w:id="80" w:author="Bret Payseur" w:date="2020-06-26T16:38:00Z">
          <w:pPr>
            <w:pStyle w:val="Heading1"/>
            <w:spacing w:line="360" w:lineRule="auto"/>
          </w:pPr>
        </w:pPrChange>
      </w:pPr>
      <w:r>
        <w:t>This research was funded by NIH grants R01GM120051 and R01GM100426 to B. A. P</w:t>
      </w:r>
      <w:ins w:id="81" w:author="April Peterson" w:date="2020-06-30T15:06:00Z">
        <w:r w:rsidR="009873F8">
          <w:t>..</w:t>
        </w:r>
      </w:ins>
      <w:del w:id="82" w:author="April Peterson" w:date="2020-06-30T15:06:00Z">
        <w:r w:rsidDel="009873F8">
          <w:delText>..</w:delText>
        </w:r>
      </w:del>
      <w:r>
        <w:t xml:space="preserve"> </w:t>
      </w:r>
      <w:r w:rsidR="00EC6B80">
        <w:t>A. L. P. was partly supported by NIH T32GM007133.</w:t>
      </w:r>
      <w:ins w:id="83" w:author="April Peterson" w:date="2020-06-30T15:06:00Z">
        <w:r w:rsidR="009873F8">
          <w:t xml:space="preserve"> Franscico Peligrei for microscope use.</w:t>
        </w:r>
      </w:ins>
    </w:p>
    <w:p w14:paraId="7CA577C8" w14:textId="6BAF8836" w:rsidR="00404D7B" w:rsidRDefault="00A70004" w:rsidP="003A6557">
      <w:pPr>
        <w:pStyle w:val="Heading1"/>
        <w:spacing w:line="360" w:lineRule="auto"/>
      </w:pPr>
      <w:bookmarkStart w:id="84" w:name="competing-interests"/>
      <w:r>
        <w:t>Competing interests</w:t>
      </w:r>
      <w:bookmarkEnd w:id="84"/>
    </w:p>
    <w:p w14:paraId="6933E765" w14:textId="72730768" w:rsidR="00EC6B80" w:rsidRPr="007C3F94" w:rsidRDefault="00EC6B80" w:rsidP="00EC6B80">
      <w:pPr>
        <w:pStyle w:val="BodyText"/>
        <w:spacing w:after="200" w:line="360" w:lineRule="auto"/>
      </w:pPr>
      <w:r>
        <w:t>The authors declare that there are no competing interests.</w:t>
      </w:r>
    </w:p>
    <w:p w14:paraId="4809624C" w14:textId="77777777" w:rsidR="00EC6B80" w:rsidRPr="00EC6B80" w:rsidRDefault="00EC6B80" w:rsidP="009873F8">
      <w:pPr>
        <w:pStyle w:val="BodyText"/>
      </w:pPr>
    </w:p>
    <w:p w14:paraId="72F137E7" w14:textId="77777777" w:rsidR="00404D7B" w:rsidRDefault="00A70004" w:rsidP="003A6557">
      <w:pPr>
        <w:pStyle w:val="Heading1"/>
        <w:spacing w:line="360" w:lineRule="auto"/>
      </w:pPr>
      <w:bookmarkStart w:id="85" w:name="references"/>
      <w:commentRangeStart w:id="86"/>
      <w:r>
        <w:t>REFERENCES</w:t>
      </w:r>
      <w:bookmarkEnd w:id="85"/>
      <w:commentRangeEnd w:id="86"/>
      <w:r w:rsidR="006F7F39">
        <w:rPr>
          <w:rStyle w:val="CommentReference"/>
          <w:rFonts w:asciiTheme="minorHAnsi" w:eastAsiaTheme="minorHAnsi" w:hAnsiTheme="minorHAnsi" w:cstheme="minorBidi"/>
          <w:b w:val="0"/>
          <w:bCs w:val="0"/>
          <w:color w:val="auto"/>
        </w:rPr>
        <w:commentReference w:id="86"/>
      </w:r>
    </w:p>
    <w:p w14:paraId="2AFA89B0" w14:textId="77777777" w:rsidR="00404D7B" w:rsidRDefault="00A70004" w:rsidP="003A6557">
      <w:pPr>
        <w:pStyle w:val="Bibliography"/>
        <w:spacing w:line="360" w:lineRule="auto"/>
      </w:pPr>
      <w:bookmarkStart w:id="87" w:name="ref-anderson1999"/>
      <w:bookmarkStart w:id="88" w:name="refs"/>
      <w:r>
        <w:t xml:space="preserve">Anderson LK, Reeves A, Webb LM, Ashley T. 1999. Distribution of crossing over on mouse synaptonemal complexes using immunofluorescent localization of mlh1 protein. </w:t>
      </w:r>
      <w:r>
        <w:rPr>
          <w:i/>
        </w:rPr>
        <w:t>Genetics</w:t>
      </w:r>
      <w:r>
        <w:t xml:space="preserve"> </w:t>
      </w:r>
      <w:r>
        <w:rPr>
          <w:b/>
        </w:rPr>
        <w:t>151</w:t>
      </w:r>
      <w:r>
        <w:t>:1569–1579.</w:t>
      </w:r>
    </w:p>
    <w:p w14:paraId="6880E6A6" w14:textId="77777777" w:rsidR="00404D7B" w:rsidRDefault="00A70004" w:rsidP="003A6557">
      <w:pPr>
        <w:pStyle w:val="Bibliography"/>
        <w:spacing w:line="360" w:lineRule="auto"/>
      </w:pPr>
      <w:bookmarkStart w:id="89" w:name="ref-baier2014"/>
      <w:bookmarkEnd w:id="87"/>
      <w:r>
        <w:t xml:space="preserve">Baier B, Hunt P, Broman KW, Hassold T. 2014. Variation in genome-wide levels of meiotic recombination is established at the onset of prophase in mammalian males. </w:t>
      </w:r>
      <w:r>
        <w:rPr>
          <w:i/>
        </w:rPr>
        <w:t>PLoS geneti</w:t>
      </w:r>
      <w:bookmarkStart w:id="90" w:name="_GoBack"/>
      <w:bookmarkEnd w:id="90"/>
      <w:r>
        <w:rPr>
          <w:i/>
        </w:rPr>
        <w:t>cs</w:t>
      </w:r>
      <w:r>
        <w:t xml:space="preserve"> </w:t>
      </w:r>
      <w:r>
        <w:rPr>
          <w:b/>
        </w:rPr>
        <w:t>10</w:t>
      </w:r>
      <w:r>
        <w:t>.</w:t>
      </w:r>
    </w:p>
    <w:p w14:paraId="341D539C" w14:textId="77777777" w:rsidR="00404D7B" w:rsidRDefault="00A70004" w:rsidP="003A6557">
      <w:pPr>
        <w:pStyle w:val="Bibliography"/>
        <w:spacing w:line="360" w:lineRule="auto"/>
      </w:pPr>
      <w:bookmarkStart w:id="91" w:name="ref-lme4"/>
      <w:bookmarkEnd w:id="89"/>
      <w:r>
        <w:t xml:space="preserve">Bates D, Mächler M, Bolker B, Walker S. 2015. Fitting linear mixed-effects models using lme4. </w:t>
      </w:r>
      <w:r>
        <w:rPr>
          <w:i/>
        </w:rPr>
        <w:t>Journal of Statistical Software</w:t>
      </w:r>
      <w:r>
        <w:t xml:space="preserve"> </w:t>
      </w:r>
      <w:r>
        <w:rPr>
          <w:b/>
        </w:rPr>
        <w:t>67</w:t>
      </w:r>
      <w:r>
        <w:t>:1–48. doi:</w:t>
      </w:r>
      <w:hyperlink r:id="rId9">
        <w:r>
          <w:rPr>
            <w:rStyle w:val="Hyperlink"/>
          </w:rPr>
          <w:t>10.18637/jss.v067.i01</w:t>
        </w:r>
      </w:hyperlink>
    </w:p>
    <w:p w14:paraId="641D5153" w14:textId="77777777" w:rsidR="00404D7B" w:rsidRDefault="00A70004" w:rsidP="003A6557">
      <w:pPr>
        <w:pStyle w:val="Bibliography"/>
        <w:spacing w:line="360" w:lineRule="auto"/>
      </w:pPr>
      <w:bookmarkStart w:id="92" w:name="ref-baudat2013"/>
      <w:bookmarkEnd w:id="91"/>
      <w:r>
        <w:t xml:space="preserve">Baudat F, Imai Y, De Massy B. 2013. Meiotic recombination in mammals: Localization and regulation. </w:t>
      </w:r>
      <w:r>
        <w:rPr>
          <w:i/>
        </w:rPr>
        <w:t>Nature Reviews Genetics</w:t>
      </w:r>
      <w:r>
        <w:t xml:space="preserve"> </w:t>
      </w:r>
      <w:r>
        <w:rPr>
          <w:b/>
        </w:rPr>
        <w:t>14</w:t>
      </w:r>
      <w:r>
        <w:t>:794–806.</w:t>
      </w:r>
    </w:p>
    <w:p w14:paraId="53C5CC32" w14:textId="77777777" w:rsidR="00404D7B" w:rsidRDefault="00A70004" w:rsidP="003A6557">
      <w:pPr>
        <w:pStyle w:val="Bibliography"/>
        <w:spacing w:line="360" w:lineRule="auto"/>
      </w:pPr>
      <w:bookmarkStart w:id="93" w:name="ref-begun1992"/>
      <w:bookmarkEnd w:id="92"/>
      <w:r>
        <w:t xml:space="preserve">Begun DJ, Aquadro CF. 1992. Levels of naturally occurring dna polymorphism correlate with recombination rates in d. Melanogaster. </w:t>
      </w:r>
      <w:r>
        <w:rPr>
          <w:i/>
        </w:rPr>
        <w:t>Nature</w:t>
      </w:r>
      <w:r>
        <w:t xml:space="preserve"> </w:t>
      </w:r>
      <w:r>
        <w:rPr>
          <w:b/>
        </w:rPr>
        <w:t>356</w:t>
      </w:r>
      <w:r>
        <w:t>:519–520.</w:t>
      </w:r>
    </w:p>
    <w:p w14:paraId="66377B58" w14:textId="77777777" w:rsidR="00404D7B" w:rsidRDefault="00A70004" w:rsidP="003A6557">
      <w:pPr>
        <w:pStyle w:val="Bibliography"/>
        <w:spacing w:line="360" w:lineRule="auto"/>
      </w:pPr>
      <w:bookmarkStart w:id="94" w:name="ref-brandvain2012scrambling"/>
      <w:bookmarkEnd w:id="93"/>
      <w:r>
        <w:t xml:space="preserve">Brandvain Y, Coop G. 2012. Scrambling eggs: Meiotic drive and the evolution of female recombination rates. </w:t>
      </w:r>
      <w:r>
        <w:rPr>
          <w:i/>
        </w:rPr>
        <w:t>Genetics</w:t>
      </w:r>
      <w:r>
        <w:t xml:space="preserve"> </w:t>
      </w:r>
      <w:r>
        <w:rPr>
          <w:b/>
        </w:rPr>
        <w:t>190</w:t>
      </w:r>
      <w:r>
        <w:t>:709–723.</w:t>
      </w:r>
    </w:p>
    <w:p w14:paraId="7983CF5C" w14:textId="77777777" w:rsidR="00404D7B" w:rsidRDefault="00A70004" w:rsidP="003A6557">
      <w:pPr>
        <w:pStyle w:val="Bibliography"/>
        <w:spacing w:line="360" w:lineRule="auto"/>
      </w:pPr>
      <w:bookmarkStart w:id="95" w:name="ref-CahoonLibuda2019"/>
      <w:bookmarkEnd w:id="94"/>
      <w:r>
        <w:t xml:space="preserve">Cahoon CK, Libuda DE. 2019. Leagues of their own: Sexually dimorphic features of meiotic prophase i. </w:t>
      </w:r>
      <w:r>
        <w:rPr>
          <w:i/>
        </w:rPr>
        <w:t>Chromosoma</w:t>
      </w:r>
      <w:r>
        <w:t xml:space="preserve"> 1–16.</w:t>
      </w:r>
    </w:p>
    <w:p w14:paraId="50B6E7F1" w14:textId="77777777" w:rsidR="00404D7B" w:rsidRDefault="00A70004" w:rsidP="003A6557">
      <w:pPr>
        <w:pStyle w:val="Bibliography"/>
        <w:spacing w:line="360" w:lineRule="auto"/>
      </w:pPr>
      <w:bookmarkStart w:id="96" w:name="ref-charlesworth1993"/>
      <w:bookmarkEnd w:id="95"/>
      <w:r>
        <w:t xml:space="preserve">Charlesworth B, Morgan M, Charlesworth D. 1993. The effect of deleterious mutations on neutral molecular variation. </w:t>
      </w:r>
      <w:r>
        <w:rPr>
          <w:i/>
        </w:rPr>
        <w:t>Genetics</w:t>
      </w:r>
      <w:r>
        <w:t xml:space="preserve"> </w:t>
      </w:r>
      <w:r>
        <w:rPr>
          <w:b/>
        </w:rPr>
        <w:t>134</w:t>
      </w:r>
      <w:r>
        <w:t>:1289–1303.</w:t>
      </w:r>
    </w:p>
    <w:p w14:paraId="13ECFB92" w14:textId="77777777" w:rsidR="00404D7B" w:rsidRDefault="00A70004" w:rsidP="003A6557">
      <w:pPr>
        <w:pStyle w:val="Bibliography"/>
        <w:spacing w:line="360" w:lineRule="auto"/>
      </w:pPr>
      <w:bookmarkStart w:id="97" w:name="ref-DapperPayseur2017"/>
      <w:bookmarkEnd w:id="96"/>
      <w:r>
        <w:t xml:space="preserve">Dapper AL, Payseur BA. 2017. Connecting theory and data to understand recombination rate evolution. </w:t>
      </w:r>
      <w:r>
        <w:rPr>
          <w:i/>
        </w:rPr>
        <w:t>Philosophical Transactions of the Royal Society B: Biological Sciences</w:t>
      </w:r>
      <w:r>
        <w:t xml:space="preserve"> </w:t>
      </w:r>
      <w:r>
        <w:rPr>
          <w:b/>
        </w:rPr>
        <w:t>372</w:t>
      </w:r>
      <w:r>
        <w:t>:20160469.</w:t>
      </w:r>
    </w:p>
    <w:p w14:paraId="057BBC8D" w14:textId="77777777" w:rsidR="00404D7B" w:rsidRDefault="00A70004" w:rsidP="003A6557">
      <w:pPr>
        <w:pStyle w:val="Bibliography"/>
        <w:spacing w:line="360" w:lineRule="auto"/>
      </w:pPr>
      <w:bookmarkStart w:id="98" w:name="ref-dumont2011"/>
      <w:bookmarkEnd w:id="97"/>
      <w:r>
        <w:t xml:space="preserve">Dumont BL, Payseur BA. 2011. Genetic analysis of genome-scale recombination rate evolution in house mice. </w:t>
      </w:r>
      <w:r>
        <w:rPr>
          <w:i/>
        </w:rPr>
        <w:t>PLoS genetics</w:t>
      </w:r>
      <w:r>
        <w:t xml:space="preserve"> </w:t>
      </w:r>
      <w:r>
        <w:rPr>
          <w:b/>
        </w:rPr>
        <w:t>7</w:t>
      </w:r>
      <w:r>
        <w:t>.</w:t>
      </w:r>
    </w:p>
    <w:p w14:paraId="76FD1CA6" w14:textId="77777777" w:rsidR="00404D7B" w:rsidRDefault="00A70004" w:rsidP="003A6557">
      <w:pPr>
        <w:pStyle w:val="Bibliography"/>
        <w:spacing w:line="360" w:lineRule="auto"/>
      </w:pPr>
      <w:bookmarkStart w:id="99" w:name="ref-dumontDesai2012"/>
      <w:bookmarkEnd w:id="98"/>
      <w:r>
        <w:t xml:space="preserve">Dumont J, Desai A. 2012. Acentrosomal spindle assembly and chromosome segregation during oocyte meiosis. </w:t>
      </w:r>
      <w:r>
        <w:rPr>
          <w:i/>
        </w:rPr>
        <w:t>Trends in cell biology</w:t>
      </w:r>
      <w:r>
        <w:t xml:space="preserve"> </w:t>
      </w:r>
      <w:r>
        <w:rPr>
          <w:b/>
        </w:rPr>
        <w:t>22</w:t>
      </w:r>
      <w:r>
        <w:t>:241–249.</w:t>
      </w:r>
    </w:p>
    <w:p w14:paraId="67410BAE" w14:textId="77777777" w:rsidR="00404D7B" w:rsidRDefault="00A70004" w:rsidP="003A6557">
      <w:pPr>
        <w:pStyle w:val="Bibliography"/>
        <w:spacing w:line="360" w:lineRule="auto"/>
      </w:pPr>
      <w:bookmarkStart w:id="100" w:name="ref-fledel2011"/>
      <w:bookmarkEnd w:id="99"/>
      <w:r>
        <w:t xml:space="preserve">Fledel-Alon A, Leffler EM, Guan Y, Stephens M, Coop G, Przeworski M. 2011. Variation in human recombination rates and its genetic determinants. </w:t>
      </w:r>
      <w:r>
        <w:rPr>
          <w:i/>
        </w:rPr>
        <w:t>PloS one</w:t>
      </w:r>
      <w:r>
        <w:t xml:space="preserve"> </w:t>
      </w:r>
      <w:r>
        <w:rPr>
          <w:b/>
        </w:rPr>
        <w:t>6</w:t>
      </w:r>
      <w:r>
        <w:t>.</w:t>
      </w:r>
    </w:p>
    <w:p w14:paraId="456A0A52" w14:textId="77777777" w:rsidR="00404D7B" w:rsidRDefault="00A70004" w:rsidP="003A6557">
      <w:pPr>
        <w:pStyle w:val="Bibliography"/>
        <w:spacing w:line="360" w:lineRule="auto"/>
      </w:pPr>
      <w:bookmarkStart w:id="101" w:name="ref-geraldes2008"/>
      <w:bookmarkEnd w:id="100"/>
      <w:r>
        <w:t xml:space="preserve">Geraldes A, Basset P, Gibson B, Smith KL, Harr B, YU H-T, Bulatova N, Ziv Y, Nachman MW. 2008. Inferring the history of speciation in house mice from autosomal, x-linked, y-linked and mitochondrial genes. </w:t>
      </w:r>
      <w:r>
        <w:rPr>
          <w:i/>
        </w:rPr>
        <w:t>Molecular ecology</w:t>
      </w:r>
      <w:r>
        <w:t xml:space="preserve"> </w:t>
      </w:r>
      <w:r>
        <w:rPr>
          <w:b/>
        </w:rPr>
        <w:t>17</w:t>
      </w:r>
      <w:r>
        <w:t>:5349–5363.</w:t>
      </w:r>
    </w:p>
    <w:p w14:paraId="101ACC26" w14:textId="77777777" w:rsidR="00404D7B" w:rsidRDefault="00A70004" w:rsidP="003A6557">
      <w:pPr>
        <w:pStyle w:val="Bibliography"/>
        <w:spacing w:line="360" w:lineRule="auto"/>
      </w:pPr>
      <w:bookmarkStart w:id="102" w:name="ref-geraldes2011"/>
      <w:bookmarkEnd w:id="101"/>
      <w:r>
        <w:t xml:space="preserve">Geraldes A, Basset P, Smith KL, Nachman MW. 2011. Higher differentiation among subspecies of the house mouse (mus musculus) in genomic regions with low recombination. </w:t>
      </w:r>
      <w:r>
        <w:rPr>
          <w:i/>
        </w:rPr>
        <w:t>Molecular ecology</w:t>
      </w:r>
      <w:r>
        <w:t xml:space="preserve"> </w:t>
      </w:r>
      <w:r>
        <w:rPr>
          <w:b/>
        </w:rPr>
        <w:t>20</w:t>
      </w:r>
      <w:r>
        <w:t>:4722–4736.</w:t>
      </w:r>
    </w:p>
    <w:p w14:paraId="6F1697E8" w14:textId="77777777" w:rsidR="00404D7B" w:rsidRDefault="00A70004" w:rsidP="003A6557">
      <w:pPr>
        <w:pStyle w:val="Bibliography"/>
        <w:spacing w:line="360" w:lineRule="auto"/>
      </w:pPr>
      <w:bookmarkStart w:id="103" w:name="ref-goldstein1993"/>
      <w:bookmarkEnd w:id="102"/>
      <w:r>
        <w:t xml:space="preserve">Goldstein DB, Bergman A, Feldman MW. 1993. The evolution of interference: Reduction of recombination among three loci. </w:t>
      </w:r>
      <w:r>
        <w:rPr>
          <w:i/>
        </w:rPr>
        <w:t>Theoretical population biology</w:t>
      </w:r>
      <w:r>
        <w:t xml:space="preserve"> </w:t>
      </w:r>
      <w:r>
        <w:rPr>
          <w:b/>
        </w:rPr>
        <w:t>44</w:t>
      </w:r>
      <w:r>
        <w:t>:246–259.</w:t>
      </w:r>
    </w:p>
    <w:p w14:paraId="50CE91C5" w14:textId="77777777" w:rsidR="00404D7B" w:rsidRDefault="00A70004" w:rsidP="003A6557">
      <w:pPr>
        <w:pStyle w:val="Bibliography"/>
        <w:spacing w:line="360" w:lineRule="auto"/>
      </w:pPr>
      <w:bookmarkStart w:id="104" w:name="ref-gorelick2017"/>
      <w:bookmarkEnd w:id="103"/>
      <w:r>
        <w:t xml:space="preserve">Gorelick R, Carpinone J, Derraugh LJ. 2017. No universal differences between female and male eukaryotes: Anisogamy and asymmetrical female meiosis. </w:t>
      </w:r>
      <w:r>
        <w:rPr>
          <w:i/>
        </w:rPr>
        <w:t>Biological Journal of the Linnean Society</w:t>
      </w:r>
      <w:r>
        <w:t xml:space="preserve"> </w:t>
      </w:r>
      <w:r>
        <w:rPr>
          <w:b/>
        </w:rPr>
        <w:t>120</w:t>
      </w:r>
      <w:r>
        <w:t>:1–21.</w:t>
      </w:r>
    </w:p>
    <w:p w14:paraId="1FBB2163" w14:textId="77777777" w:rsidR="00404D7B" w:rsidRDefault="00A70004" w:rsidP="003A6557">
      <w:pPr>
        <w:pStyle w:val="Bibliography"/>
        <w:spacing w:line="360" w:lineRule="auto"/>
      </w:pPr>
      <w:bookmarkStart w:id="105" w:name="ref-gruhn2013"/>
      <w:bookmarkEnd w:id="104"/>
      <w:r>
        <w:t xml:space="preserve">Gruhn JR, Rubio C, Broman KW, Hunt PA, Hassold T. 2013. Cytological studies of human meiosis: Sex-specific differences in recombination originate at, or prior to, establishment of double-strand breaks. </w:t>
      </w:r>
      <w:r>
        <w:rPr>
          <w:i/>
        </w:rPr>
        <w:t>PloS one</w:t>
      </w:r>
      <w:r>
        <w:t xml:space="preserve"> </w:t>
      </w:r>
      <w:r>
        <w:rPr>
          <w:b/>
        </w:rPr>
        <w:t>8</w:t>
      </w:r>
      <w:r>
        <w:t>.</w:t>
      </w:r>
    </w:p>
    <w:p w14:paraId="68FC9F3D" w14:textId="77777777" w:rsidR="00404D7B" w:rsidRDefault="00A70004" w:rsidP="003A6557">
      <w:pPr>
        <w:pStyle w:val="Bibliography"/>
        <w:spacing w:line="360" w:lineRule="auto"/>
      </w:pPr>
      <w:bookmarkStart w:id="106" w:name="ref-haenel2018"/>
      <w:bookmarkEnd w:id="105"/>
      <w:r>
        <w:t xml:space="preserve">Haenel Q, Laurentino TG, Roesti M, Berner D. 2018. Meta-analysis of chromosome-scale crossover rate variation in eukaryotes and its significance to evolutionary genomics. </w:t>
      </w:r>
      <w:r>
        <w:rPr>
          <w:i/>
        </w:rPr>
        <w:t>Molecular ecology</w:t>
      </w:r>
      <w:r>
        <w:t xml:space="preserve"> </w:t>
      </w:r>
      <w:r>
        <w:rPr>
          <w:b/>
        </w:rPr>
        <w:t>27</w:t>
      </w:r>
      <w:r>
        <w:t>:2477–2497.</w:t>
      </w:r>
    </w:p>
    <w:p w14:paraId="3E75E3EB" w14:textId="77777777" w:rsidR="00404D7B" w:rsidRDefault="00A70004" w:rsidP="003A6557">
      <w:pPr>
        <w:pStyle w:val="Bibliography"/>
        <w:spacing w:line="360" w:lineRule="auto"/>
      </w:pPr>
      <w:bookmarkStart w:id="107" w:name="ref-halldorsson2019"/>
      <w:bookmarkEnd w:id="106"/>
      <w:r>
        <w:t xml:space="preserve">Halldorsson BV, Palsson G, Stefansson OA, Jonsson H, Hardarson MT, Eggertsson HP, Gunnarsson B, Oddsson A, Halldorsson GH, Zink F, others. 2019. Characterizing mutagenic effects of recombination through a sequence-level genetic map. </w:t>
      </w:r>
      <w:r>
        <w:rPr>
          <w:i/>
        </w:rPr>
        <w:t>Science</w:t>
      </w:r>
      <w:r>
        <w:t xml:space="preserve"> </w:t>
      </w:r>
      <w:r>
        <w:rPr>
          <w:b/>
        </w:rPr>
        <w:t>363</w:t>
      </w:r>
      <w:r>
        <w:t>:eaau1043.</w:t>
      </w:r>
    </w:p>
    <w:p w14:paraId="4BB57268" w14:textId="77777777" w:rsidR="00404D7B" w:rsidRDefault="00A70004" w:rsidP="003A6557">
      <w:pPr>
        <w:pStyle w:val="Bibliography"/>
        <w:spacing w:line="360" w:lineRule="auto"/>
      </w:pPr>
      <w:bookmarkStart w:id="108" w:name="ref-handel2010"/>
      <w:bookmarkEnd w:id="107"/>
      <w:r>
        <w:t xml:space="preserve">Handel MA, Schimenti JC. 2010. Genetics of mammalian meiosis: Regulation, dynamics and impact on fertility. </w:t>
      </w:r>
      <w:r>
        <w:rPr>
          <w:i/>
        </w:rPr>
        <w:t>Nature Reviews Genetics</w:t>
      </w:r>
      <w:r>
        <w:t xml:space="preserve"> </w:t>
      </w:r>
      <w:r>
        <w:rPr>
          <w:b/>
        </w:rPr>
        <w:t>11</w:t>
      </w:r>
      <w:r>
        <w:t>:124–136.</w:t>
      </w:r>
    </w:p>
    <w:p w14:paraId="0AF2D6ED" w14:textId="77777777" w:rsidR="00404D7B" w:rsidRDefault="00A70004" w:rsidP="003A6557">
      <w:pPr>
        <w:pStyle w:val="Bibliography"/>
        <w:spacing w:line="360" w:lineRule="auto"/>
      </w:pPr>
      <w:bookmarkStart w:id="109" w:name="ref-holloway2008mus81"/>
      <w:bookmarkEnd w:id="108"/>
      <w:r>
        <w:t xml:space="preserve">Holloway JK, Booth J, Edelmann W, McGowan CH, Cohen PE. 2008. MUS81 generates a subset of mlh1-mlh3–independent crossovers in mammalian meiosis. </w:t>
      </w:r>
      <w:r>
        <w:rPr>
          <w:i/>
        </w:rPr>
        <w:t>PLoS genetics</w:t>
      </w:r>
      <w:r>
        <w:t xml:space="preserve"> </w:t>
      </w:r>
      <w:r>
        <w:rPr>
          <w:b/>
        </w:rPr>
        <w:t>4</w:t>
      </w:r>
      <w:r>
        <w:t>.</w:t>
      </w:r>
    </w:p>
    <w:p w14:paraId="212BFF17" w14:textId="77777777" w:rsidR="00404D7B" w:rsidRDefault="00A70004" w:rsidP="003A6557">
      <w:pPr>
        <w:pStyle w:val="Bibliography"/>
        <w:spacing w:line="360" w:lineRule="auto"/>
      </w:pPr>
      <w:bookmarkStart w:id="110" w:name="ref-hulten2011_COM"/>
      <w:bookmarkEnd w:id="109"/>
      <w:r>
        <w:t xml:space="preserve">Hultén MA. 2011. On the origin of crossover interference: A chromosome oscillatory movement (com) model. </w:t>
      </w:r>
      <w:r>
        <w:rPr>
          <w:i/>
        </w:rPr>
        <w:t>Molecular cytogenetics</w:t>
      </w:r>
      <w:r>
        <w:t xml:space="preserve"> </w:t>
      </w:r>
      <w:r>
        <w:rPr>
          <w:b/>
        </w:rPr>
        <w:t>4</w:t>
      </w:r>
      <w:r>
        <w:t>:10.</w:t>
      </w:r>
    </w:p>
    <w:p w14:paraId="2FE5E9A7" w14:textId="77777777" w:rsidR="00404D7B" w:rsidRDefault="00A70004" w:rsidP="003A6557">
      <w:pPr>
        <w:pStyle w:val="Bibliography"/>
        <w:spacing w:line="360" w:lineRule="auto"/>
      </w:pPr>
      <w:bookmarkStart w:id="111" w:name="ref-huxley1928"/>
      <w:bookmarkEnd w:id="110"/>
      <w:r>
        <w:t xml:space="preserve">Huxley J. 1928. Sexual difference of linkage inGammarus chevreuxi. </w:t>
      </w:r>
      <w:r>
        <w:rPr>
          <w:i/>
        </w:rPr>
        <w:t>Journal of Genetics</w:t>
      </w:r>
      <w:r>
        <w:t xml:space="preserve"> </w:t>
      </w:r>
      <w:r>
        <w:rPr>
          <w:b/>
        </w:rPr>
        <w:t>20</w:t>
      </w:r>
      <w:r>
        <w:t>:145–156.</w:t>
      </w:r>
    </w:p>
    <w:p w14:paraId="22416C68" w14:textId="77777777" w:rsidR="00404D7B" w:rsidRDefault="00A70004" w:rsidP="003A6557">
      <w:pPr>
        <w:pStyle w:val="Bibliography"/>
        <w:spacing w:line="360" w:lineRule="auto"/>
      </w:pPr>
      <w:bookmarkStart w:id="112" w:name="ref-johnston2016_soay"/>
      <w:bookmarkEnd w:id="111"/>
      <w:r>
        <w:t xml:space="preserve">Johnston SE, Bérénos C, Slate J, Pemberton JM. 2016. Conserved genetic architecture underlying individual recombination rate variation in a wild population of soay sheep (ovis aries). </w:t>
      </w:r>
      <w:r>
        <w:rPr>
          <w:i/>
        </w:rPr>
        <w:t>Genetics</w:t>
      </w:r>
      <w:r>
        <w:t xml:space="preserve"> </w:t>
      </w:r>
      <w:r>
        <w:rPr>
          <w:b/>
        </w:rPr>
        <w:t>203</w:t>
      </w:r>
      <w:r>
        <w:t>:583–598.</w:t>
      </w:r>
    </w:p>
    <w:p w14:paraId="42E8A939" w14:textId="77777777" w:rsidR="00404D7B" w:rsidRDefault="00A70004" w:rsidP="003A6557">
      <w:pPr>
        <w:pStyle w:val="Bibliography"/>
        <w:spacing w:line="360" w:lineRule="auto"/>
      </w:pPr>
      <w:bookmarkStart w:id="113" w:name="ref-koehler2002"/>
      <w:bookmarkEnd w:id="112"/>
      <w:r>
        <w:t xml:space="preserve">Koehler KE, Cherry JP, Lynn A, Hunt PA, Hassold TJ. 2002. Genetic control of mammalian meiotic recombination. I. Variation in exchange frequencies among males from inbred mouse strains. </w:t>
      </w:r>
      <w:r>
        <w:rPr>
          <w:i/>
        </w:rPr>
        <w:t>Genetics</w:t>
      </w:r>
      <w:r>
        <w:t xml:space="preserve"> </w:t>
      </w:r>
      <w:r>
        <w:rPr>
          <w:b/>
        </w:rPr>
        <w:t>162</w:t>
      </w:r>
      <w:r>
        <w:t>:297–306.</w:t>
      </w:r>
    </w:p>
    <w:p w14:paraId="72B0C892" w14:textId="77777777" w:rsidR="00404D7B" w:rsidRDefault="00A70004" w:rsidP="003A6557">
      <w:pPr>
        <w:pStyle w:val="Bibliography"/>
        <w:spacing w:line="360" w:lineRule="auto"/>
      </w:pPr>
      <w:bookmarkStart w:id="114" w:name="ref-Kong2004"/>
      <w:bookmarkEnd w:id="113"/>
      <w:r>
        <w:t xml:space="preserve">Kong A, Barnard J, Gudbjartsson DF, Thorleifsson G, Jonsdottir G, Sigurdardottir S, Richardsson B, Jonsdottir J, Thorgeirsson T, Frigge ML, others. 2004. Recombination rate and reproductive success in humans. </w:t>
      </w:r>
      <w:r>
        <w:rPr>
          <w:i/>
        </w:rPr>
        <w:t>Nature genetics</w:t>
      </w:r>
      <w:r>
        <w:t xml:space="preserve"> </w:t>
      </w:r>
      <w:r>
        <w:rPr>
          <w:b/>
        </w:rPr>
        <w:t>36</w:t>
      </w:r>
      <w:r>
        <w:t>:1203–1206.</w:t>
      </w:r>
    </w:p>
    <w:p w14:paraId="030B7337" w14:textId="77777777" w:rsidR="00404D7B" w:rsidRDefault="00A70004" w:rsidP="003A6557">
      <w:pPr>
        <w:pStyle w:val="Bibliography"/>
        <w:spacing w:line="360" w:lineRule="auto"/>
      </w:pPr>
      <w:bookmarkStart w:id="115" w:name="ref-Kong2014"/>
      <w:bookmarkEnd w:id="114"/>
      <w:r>
        <w:t xml:space="preserve">Kong A, Thorleifsson G, Frigge ML, Masson G, Gudbjartsson DF, Villemoes R, Magnusdottir E, Olafsdottir SB, Thorsteinsdottir U, Stefansson K. 2014. Common and low-frequency variants associated with genome-wide recombination rate. </w:t>
      </w:r>
      <w:r>
        <w:rPr>
          <w:i/>
        </w:rPr>
        <w:t>Nature genetics</w:t>
      </w:r>
      <w:r>
        <w:t xml:space="preserve"> </w:t>
      </w:r>
      <w:r>
        <w:rPr>
          <w:b/>
        </w:rPr>
        <w:t>46</w:t>
      </w:r>
      <w:r>
        <w:t>:11.</w:t>
      </w:r>
    </w:p>
    <w:p w14:paraId="694FC74A" w14:textId="77777777" w:rsidR="00404D7B" w:rsidRDefault="00A70004" w:rsidP="003A6557">
      <w:pPr>
        <w:pStyle w:val="Bibliography"/>
        <w:spacing w:line="360" w:lineRule="auto"/>
      </w:pPr>
      <w:bookmarkStart w:id="116" w:name="ref-Kong2008"/>
      <w:bookmarkEnd w:id="115"/>
      <w:r>
        <w:t xml:space="preserve">Kong A, Thorleifsson G, Stefansson H, Masson G, Helgason A, Gudbjartsson DF, Jonsdottir GM, Gudjonsson SA, Sverrisson S, Thorlacius T, others. 2008. Sequence variants in the rnf212 gene associate with genome-wide recombination rate. </w:t>
      </w:r>
      <w:r>
        <w:rPr>
          <w:i/>
        </w:rPr>
        <w:t>Science</w:t>
      </w:r>
      <w:r>
        <w:t xml:space="preserve"> </w:t>
      </w:r>
      <w:r>
        <w:rPr>
          <w:b/>
        </w:rPr>
        <w:t>319</w:t>
      </w:r>
      <w:r>
        <w:t>:1398–1401.</w:t>
      </w:r>
    </w:p>
    <w:p w14:paraId="349D5893" w14:textId="77777777" w:rsidR="00404D7B" w:rsidRDefault="00A70004" w:rsidP="003A6557">
      <w:pPr>
        <w:pStyle w:val="Bibliography"/>
        <w:spacing w:line="360" w:lineRule="auto"/>
      </w:pPr>
      <w:bookmarkStart w:id="117" w:name="ref-kudo2009"/>
      <w:bookmarkEnd w:id="116"/>
      <w:r>
        <w:t xml:space="preserve">Kudo NR, Anger M, Peters AH, Stemmann O, Theussl H-C, Helmhart W, Kudo H, Heyting C, Nasmyth K. 2009. Role of cleavage by separase of the rec8 kleisin subunit of cohesin during mammalian meiosis i. </w:t>
      </w:r>
      <w:r>
        <w:rPr>
          <w:i/>
        </w:rPr>
        <w:t>Journal of cell science</w:t>
      </w:r>
      <w:r>
        <w:t xml:space="preserve"> </w:t>
      </w:r>
      <w:r>
        <w:rPr>
          <w:b/>
        </w:rPr>
        <w:t>122</w:t>
      </w:r>
      <w:r>
        <w:t>:2686–2698.</w:t>
      </w:r>
    </w:p>
    <w:p w14:paraId="135BBF18" w14:textId="77777777" w:rsidR="00404D7B" w:rsidRDefault="00A70004" w:rsidP="003A6557">
      <w:pPr>
        <w:pStyle w:val="Bibliography"/>
        <w:spacing w:line="360" w:lineRule="auto"/>
      </w:pPr>
      <w:bookmarkStart w:id="118" w:name="ref-kyogoku2017"/>
      <w:bookmarkEnd w:id="117"/>
      <w:r>
        <w:t xml:space="preserve">Kyogoku H, Kitajima TS. 2017. Large cytoplasm is linked to the error-prone nature of oocytes. </w:t>
      </w:r>
      <w:r>
        <w:rPr>
          <w:i/>
        </w:rPr>
        <w:t>Developmental cell</w:t>
      </w:r>
      <w:r>
        <w:t xml:space="preserve"> </w:t>
      </w:r>
      <w:r>
        <w:rPr>
          <w:b/>
        </w:rPr>
        <w:t>41</w:t>
      </w:r>
      <w:r>
        <w:t>:287–298.</w:t>
      </w:r>
    </w:p>
    <w:p w14:paraId="41BEBE55" w14:textId="77777777" w:rsidR="00404D7B" w:rsidRDefault="00A70004" w:rsidP="003A6557">
      <w:pPr>
        <w:pStyle w:val="Bibliography"/>
        <w:spacing w:line="360" w:lineRule="auto"/>
      </w:pPr>
      <w:bookmarkStart w:id="119" w:name="ref-LaneKauppi2019"/>
      <w:bookmarkEnd w:id="118"/>
      <w:r>
        <w:t xml:space="preserve">Lane S, Kauppi L. 2019. Meiotic spindle assembly checkpoint and aneuploidy in males versus females. </w:t>
      </w:r>
      <w:r>
        <w:rPr>
          <w:i/>
        </w:rPr>
        <w:t>Cellular and molecular life sciences</w:t>
      </w:r>
      <w:r>
        <w:t xml:space="preserve"> </w:t>
      </w:r>
      <w:r>
        <w:rPr>
          <w:b/>
        </w:rPr>
        <w:t>76</w:t>
      </w:r>
      <w:r>
        <w:t>:1135–1150.</w:t>
      </w:r>
    </w:p>
    <w:p w14:paraId="4D9888B6" w14:textId="77777777" w:rsidR="00404D7B" w:rsidRDefault="00A70004" w:rsidP="003A6557">
      <w:pPr>
        <w:pStyle w:val="Bibliography"/>
        <w:spacing w:line="360" w:lineRule="auto"/>
      </w:pPr>
      <w:bookmarkStart w:id="120" w:name="ref-Lee2019"/>
      <w:bookmarkEnd w:id="119"/>
      <w:r>
        <w:t xml:space="preserve">Lee J. 2019. Is age-related increase of chromosome segregation errors in mammalian oocytes caused by cohesin deterioration? </w:t>
      </w:r>
      <w:r>
        <w:rPr>
          <w:i/>
        </w:rPr>
        <w:t>Reproductive Medicine and Biology</w:t>
      </w:r>
      <w:r>
        <w:t>.</w:t>
      </w:r>
    </w:p>
    <w:p w14:paraId="6FC1930B" w14:textId="77777777" w:rsidR="00404D7B" w:rsidRDefault="00A70004" w:rsidP="003A6557">
      <w:pPr>
        <w:pStyle w:val="Bibliography"/>
        <w:spacing w:line="360" w:lineRule="auto"/>
      </w:pPr>
      <w:bookmarkStart w:id="121" w:name="ref-lenormand2003"/>
      <w:bookmarkEnd w:id="120"/>
      <w:r>
        <w:t xml:space="preserve">Lenormand T. 2003. The evolution of sex dimorphism in recombination. </w:t>
      </w:r>
      <w:r>
        <w:rPr>
          <w:i/>
        </w:rPr>
        <w:t>Genetics</w:t>
      </w:r>
      <w:r>
        <w:t xml:space="preserve"> </w:t>
      </w:r>
      <w:r>
        <w:rPr>
          <w:b/>
        </w:rPr>
        <w:t>163</w:t>
      </w:r>
      <w:r>
        <w:t>:811–822.</w:t>
      </w:r>
    </w:p>
    <w:p w14:paraId="70330088" w14:textId="77777777" w:rsidR="00404D7B" w:rsidRDefault="00A70004" w:rsidP="003A6557">
      <w:pPr>
        <w:pStyle w:val="Bibliography"/>
        <w:spacing w:line="360" w:lineRule="auto"/>
      </w:pPr>
      <w:bookmarkStart w:id="122" w:name="ref-lenormandDuthiel_2005"/>
      <w:bookmarkEnd w:id="121"/>
      <w:r>
        <w:t xml:space="preserve">Lenormand T, Dutheil J. 2005. Recombination difference between sexes: A role for haploid selection. </w:t>
      </w:r>
      <w:r>
        <w:rPr>
          <w:i/>
        </w:rPr>
        <w:t>PLoS biology</w:t>
      </w:r>
      <w:r>
        <w:t xml:space="preserve"> </w:t>
      </w:r>
      <w:r>
        <w:rPr>
          <w:b/>
        </w:rPr>
        <w:t>3</w:t>
      </w:r>
      <w:r>
        <w:t>.</w:t>
      </w:r>
    </w:p>
    <w:p w14:paraId="6FA86534" w14:textId="77777777" w:rsidR="00404D7B" w:rsidRDefault="00A70004" w:rsidP="003A6557">
      <w:pPr>
        <w:pStyle w:val="Bibliography"/>
        <w:spacing w:line="360" w:lineRule="auto"/>
      </w:pPr>
      <w:bookmarkStart w:id="123" w:name="ref-lenormand2016"/>
      <w:bookmarkEnd w:id="122"/>
      <w:r>
        <w:t xml:space="preserve">Lenormand T, Engelstädter J, Johnston SE, Wijnker E, Haag CR. 2016. Evolutionary mysteries in meiosis. </w:t>
      </w:r>
      <w:r>
        <w:rPr>
          <w:i/>
        </w:rPr>
        <w:t>Philosophical Transactions of the Royal Society B: Biological Sciences</w:t>
      </w:r>
      <w:r>
        <w:t xml:space="preserve"> </w:t>
      </w:r>
      <w:r>
        <w:rPr>
          <w:b/>
        </w:rPr>
        <w:t>371</w:t>
      </w:r>
      <w:r>
        <w:t>:20160001.</w:t>
      </w:r>
    </w:p>
    <w:p w14:paraId="2A3F6936" w14:textId="77777777" w:rsidR="00404D7B" w:rsidRDefault="00A70004" w:rsidP="003A6557">
      <w:pPr>
        <w:pStyle w:val="Bibliography"/>
        <w:spacing w:line="360" w:lineRule="auto"/>
      </w:pPr>
      <w:bookmarkStart w:id="124" w:name="ref-lynn2002"/>
      <w:bookmarkEnd w:id="123"/>
      <w:r>
        <w:t xml:space="preserve">Lynn A, Koehler KE, Judis L, Chan ER, Cherry JP, Schwartz S, Seftel A, Hunt PA, Hassold TJ. 2002. Covariation of synaptonemal complex length and mammalian meiotic exchange rates. </w:t>
      </w:r>
      <w:r>
        <w:rPr>
          <w:i/>
        </w:rPr>
        <w:t>Science</w:t>
      </w:r>
      <w:r>
        <w:t xml:space="preserve"> </w:t>
      </w:r>
      <w:r>
        <w:rPr>
          <w:b/>
        </w:rPr>
        <w:t>296</w:t>
      </w:r>
      <w:r>
        <w:t>:2222–2225.</w:t>
      </w:r>
    </w:p>
    <w:p w14:paraId="5DB4170E" w14:textId="77777777" w:rsidR="00404D7B" w:rsidRDefault="00A70004" w:rsidP="003A6557">
      <w:pPr>
        <w:pStyle w:val="Bibliography"/>
        <w:spacing w:line="360" w:lineRule="auto"/>
      </w:pPr>
      <w:bookmarkStart w:id="125" w:name="ref-ma2015_cattle"/>
      <w:bookmarkEnd w:id="124"/>
      <w:r>
        <w:t xml:space="preserve">Ma L, O’Connell JR, VanRaden PM, Shen B, Padhi A, Sun C, Bickhart DM, Cole JB, Null DJ, Liu GE, others. 2015. Cattle sex-specific recombination and genetic control from a large pedigree analysis. </w:t>
      </w:r>
      <w:r>
        <w:rPr>
          <w:i/>
        </w:rPr>
        <w:t>PLoS genetics</w:t>
      </w:r>
      <w:r>
        <w:t xml:space="preserve"> </w:t>
      </w:r>
      <w:r>
        <w:rPr>
          <w:b/>
        </w:rPr>
        <w:t>11</w:t>
      </w:r>
      <w:r>
        <w:t>.</w:t>
      </w:r>
    </w:p>
    <w:p w14:paraId="60E55724" w14:textId="77777777" w:rsidR="00404D7B" w:rsidRDefault="00A70004" w:rsidP="003A6557">
      <w:pPr>
        <w:pStyle w:val="Bibliography"/>
        <w:spacing w:line="360" w:lineRule="auto"/>
      </w:pPr>
      <w:bookmarkStart w:id="126" w:name="ref-murdoch2010"/>
      <w:bookmarkEnd w:id="125"/>
      <w:r>
        <w:t xml:space="preserve">Murdoch B, Owen N, Shirley S, Crumb S, Broman KW, Hassold T. 2010. Multiple loci contribute to genome-wide recombination levels in male mice. </w:t>
      </w:r>
      <w:r>
        <w:rPr>
          <w:i/>
        </w:rPr>
        <w:t>Mammalian Genome</w:t>
      </w:r>
      <w:r>
        <w:t xml:space="preserve"> </w:t>
      </w:r>
      <w:r>
        <w:rPr>
          <w:b/>
        </w:rPr>
        <w:t>21</w:t>
      </w:r>
      <w:r>
        <w:t>:550–555.</w:t>
      </w:r>
    </w:p>
    <w:p w14:paraId="594CDEDC" w14:textId="77777777" w:rsidR="00404D7B" w:rsidRDefault="00A70004" w:rsidP="003A6557">
      <w:pPr>
        <w:pStyle w:val="Bibliography"/>
        <w:spacing w:line="360" w:lineRule="auto"/>
      </w:pPr>
      <w:bookmarkStart w:id="127" w:name="ref-nachman2012"/>
      <w:bookmarkEnd w:id="126"/>
      <w:r>
        <w:t xml:space="preserve">Nachman MW, Payseur BA. 2012. Recombination rate variation and speciation: Theoretical predictions and empirical results from rabbits and mice. </w:t>
      </w:r>
      <w:r>
        <w:rPr>
          <w:i/>
        </w:rPr>
        <w:t>Philosophical Transactions of the Royal Society B: Biological Sciences</w:t>
      </w:r>
      <w:r>
        <w:t xml:space="preserve"> </w:t>
      </w:r>
      <w:r>
        <w:rPr>
          <w:b/>
        </w:rPr>
        <w:t>367</w:t>
      </w:r>
      <w:r>
        <w:t>:409–421.</w:t>
      </w:r>
    </w:p>
    <w:p w14:paraId="750E9581" w14:textId="77777777" w:rsidR="00404D7B" w:rsidRDefault="00A70004" w:rsidP="003A6557">
      <w:pPr>
        <w:pStyle w:val="Bibliography"/>
        <w:spacing w:line="360" w:lineRule="auto"/>
      </w:pPr>
      <w:bookmarkStart w:id="128" w:name="ref-nagaoka2012"/>
      <w:bookmarkEnd w:id="127"/>
      <w:r>
        <w:t xml:space="preserve">Nagaoka SI, Hassold TJ, Hunt PA. 2012. Human aneuploidy: Mechanisms and new insights into an age-old problem. </w:t>
      </w:r>
      <w:r>
        <w:rPr>
          <w:i/>
        </w:rPr>
        <w:t>Nature Reviews Genetics</w:t>
      </w:r>
      <w:r>
        <w:t xml:space="preserve"> </w:t>
      </w:r>
      <w:r>
        <w:rPr>
          <w:b/>
        </w:rPr>
        <w:t>13</w:t>
      </w:r>
      <w:r>
        <w:t>:493–504.</w:t>
      </w:r>
    </w:p>
    <w:p w14:paraId="4B8A722B" w14:textId="77777777" w:rsidR="00404D7B" w:rsidRDefault="00A70004" w:rsidP="003A6557">
      <w:pPr>
        <w:pStyle w:val="Bibliography"/>
        <w:spacing w:line="360" w:lineRule="auto"/>
      </w:pPr>
      <w:bookmarkStart w:id="129" w:name="ref-ottoPaysuer2019"/>
      <w:bookmarkEnd w:id="128"/>
      <w:r>
        <w:t xml:space="preserve">Otto SP, Payseur BA. 2019. Crossover interference: Shedding light on the evolution of recombination. </w:t>
      </w:r>
      <w:r>
        <w:rPr>
          <w:i/>
        </w:rPr>
        <w:t>Annual review of genetics</w:t>
      </w:r>
      <w:r>
        <w:t xml:space="preserve"> </w:t>
      </w:r>
      <w:r>
        <w:rPr>
          <w:b/>
        </w:rPr>
        <w:t>53</w:t>
      </w:r>
      <w:r>
        <w:t>:19–44.</w:t>
      </w:r>
    </w:p>
    <w:p w14:paraId="194AC2A6" w14:textId="77777777" w:rsidR="00404D7B" w:rsidRDefault="00A70004" w:rsidP="003A6557">
      <w:pPr>
        <w:pStyle w:val="Bibliography"/>
        <w:spacing w:line="360" w:lineRule="auto"/>
      </w:pPr>
      <w:bookmarkStart w:id="130" w:name="ref-peters_1997"/>
      <w:bookmarkEnd w:id="129"/>
      <w:r>
        <w:t xml:space="preserve">Peters AH, Plug AW, Vugt MJ van, De Boer P. 1997. SHORT COMMUNICATIONS A drying-down technique for the spreading of mammalian meiocytes from the male and female germline. </w:t>
      </w:r>
      <w:r>
        <w:rPr>
          <w:i/>
        </w:rPr>
        <w:t>Chromosome research</w:t>
      </w:r>
      <w:r>
        <w:t xml:space="preserve"> </w:t>
      </w:r>
      <w:r>
        <w:rPr>
          <w:b/>
        </w:rPr>
        <w:t>5</w:t>
      </w:r>
      <w:r>
        <w:t>:66–68.</w:t>
      </w:r>
    </w:p>
    <w:p w14:paraId="641A2AC7" w14:textId="77777777" w:rsidR="00404D7B" w:rsidRDefault="00A70004" w:rsidP="003A6557">
      <w:pPr>
        <w:pStyle w:val="Bibliography"/>
        <w:spacing w:line="360" w:lineRule="auto"/>
      </w:pPr>
      <w:bookmarkStart w:id="131" w:name="ref-peterson2019"/>
      <w:bookmarkEnd w:id="130"/>
      <w:r>
        <w:t xml:space="preserve">Peterson AL, Miller ND, Payseur BA. 2019. Conservation of the genome-wide recombination rate in white-footed mice. </w:t>
      </w:r>
      <w:r>
        <w:rPr>
          <w:i/>
        </w:rPr>
        <w:t>Heredity</w:t>
      </w:r>
      <w:r>
        <w:t xml:space="preserve"> </w:t>
      </w:r>
      <w:r>
        <w:rPr>
          <w:b/>
        </w:rPr>
        <w:t>123</w:t>
      </w:r>
      <w:r>
        <w:t>:442–457.</w:t>
      </w:r>
    </w:p>
    <w:p w14:paraId="5AE7F147" w14:textId="77777777" w:rsidR="00404D7B" w:rsidRDefault="00A70004" w:rsidP="003A6557">
      <w:pPr>
        <w:pStyle w:val="Bibliography"/>
        <w:spacing w:line="360" w:lineRule="auto"/>
      </w:pPr>
      <w:bookmarkStart w:id="132" w:name="ref-petkov2007"/>
      <w:bookmarkEnd w:id="131"/>
      <w:r>
        <w:t xml:space="preserve">Petkov PM, Broman KW, Szatkiewicz JP, Paigen K. 2007. Crossover interference underlies sex differences in recombination rates. </w:t>
      </w:r>
      <w:r>
        <w:rPr>
          <w:i/>
        </w:rPr>
        <w:t>Trends in Genetics</w:t>
      </w:r>
      <w:r>
        <w:t xml:space="preserve"> </w:t>
      </w:r>
      <w:r>
        <w:rPr>
          <w:b/>
        </w:rPr>
        <w:t>23</w:t>
      </w:r>
      <w:r>
        <w:t>:539–542.</w:t>
      </w:r>
    </w:p>
    <w:p w14:paraId="0F201A98" w14:textId="77777777" w:rsidR="00404D7B" w:rsidRDefault="00A70004" w:rsidP="003A6557">
      <w:pPr>
        <w:pStyle w:val="Bibliography"/>
        <w:spacing w:line="360" w:lineRule="auto"/>
      </w:pPr>
      <w:bookmarkStart w:id="133" w:name="ref-Ritz2017"/>
      <w:bookmarkEnd w:id="132"/>
      <w:r>
        <w:t xml:space="preserve">Ritz KR, Noor MA, Singh ND. 2017. Variation in recombination rate: Adaptive or not? </w:t>
      </w:r>
      <w:r>
        <w:rPr>
          <w:i/>
        </w:rPr>
        <w:t>Trends in Genetics</w:t>
      </w:r>
      <w:r>
        <w:t xml:space="preserve"> </w:t>
      </w:r>
      <w:r>
        <w:rPr>
          <w:b/>
        </w:rPr>
        <w:t>33</w:t>
      </w:r>
      <w:r>
        <w:t>:364–374.</w:t>
      </w:r>
    </w:p>
    <w:p w14:paraId="5DA8FEFA" w14:textId="77777777" w:rsidR="00404D7B" w:rsidRDefault="00A70004" w:rsidP="003A6557">
      <w:pPr>
        <w:pStyle w:val="Bibliography"/>
        <w:spacing w:line="360" w:lineRule="auto"/>
      </w:pPr>
      <w:bookmarkStart w:id="134" w:name="ref-samuk2020"/>
      <w:bookmarkEnd w:id="133"/>
      <w:r>
        <w:t xml:space="preserve">Samuk K, Manzano-Winkler B, Ritz KR, Noor MA. 2020. Natural selection shapes variation in genome-wide recombination rate in drosophila pseudoobscura. </w:t>
      </w:r>
      <w:r>
        <w:rPr>
          <w:i/>
        </w:rPr>
        <w:t>Current Biology</w:t>
      </w:r>
      <w:r>
        <w:t>.</w:t>
      </w:r>
    </w:p>
    <w:p w14:paraId="374A9AC8" w14:textId="77777777" w:rsidR="00404D7B" w:rsidRDefault="00A70004" w:rsidP="003A6557">
      <w:pPr>
        <w:pStyle w:val="Bibliography"/>
        <w:spacing w:line="360" w:lineRule="auto"/>
      </w:pPr>
      <w:bookmarkStart w:id="135" w:name="ref-sardell_sex_2020"/>
      <w:bookmarkEnd w:id="134"/>
      <w:r>
        <w:t xml:space="preserve">Sardell JM, Kirkpatrick M. 2020. Sex differences in the recombination landscape. </w:t>
      </w:r>
      <w:r>
        <w:rPr>
          <w:i/>
        </w:rPr>
        <w:t>The American Naturalist</w:t>
      </w:r>
      <w:r>
        <w:t xml:space="preserve"> </w:t>
      </w:r>
      <w:r>
        <w:rPr>
          <w:b/>
        </w:rPr>
        <w:t>195</w:t>
      </w:r>
      <w:r>
        <w:t>:361–379. doi:</w:t>
      </w:r>
      <w:hyperlink r:id="rId10">
        <w:r>
          <w:rPr>
            <w:rStyle w:val="Hyperlink"/>
          </w:rPr>
          <w:t>10.1086/704943</w:t>
        </w:r>
      </w:hyperlink>
    </w:p>
    <w:p w14:paraId="4420BBF4" w14:textId="77777777" w:rsidR="00404D7B" w:rsidRDefault="00A70004" w:rsidP="003A6557">
      <w:pPr>
        <w:pStyle w:val="Bibliography"/>
        <w:spacing w:line="360" w:lineRule="auto"/>
      </w:pPr>
      <w:bookmarkStart w:id="136" w:name="ref-RLRsim"/>
      <w:bookmarkEnd w:id="135"/>
      <w:r>
        <w:t xml:space="preserve">Scheipl F, Greven S, Kuechenhoff H. 2008. Size and power of tests for a zero random effect variance or polynomial regression in additive and linear mixed models. </w:t>
      </w:r>
      <w:r>
        <w:rPr>
          <w:i/>
        </w:rPr>
        <w:t>Computational Statistics &amp; Data Analysis</w:t>
      </w:r>
      <w:r>
        <w:t xml:space="preserve"> </w:t>
      </w:r>
      <w:r>
        <w:rPr>
          <w:b/>
        </w:rPr>
        <w:t>52</w:t>
      </w:r>
      <w:r>
        <w:t>:3283–3299.</w:t>
      </w:r>
    </w:p>
    <w:p w14:paraId="36D75C8D" w14:textId="77777777" w:rsidR="00404D7B" w:rsidRDefault="00A70004" w:rsidP="003A6557">
      <w:pPr>
        <w:pStyle w:val="Bibliography"/>
        <w:spacing w:line="360" w:lineRule="auto"/>
      </w:pPr>
      <w:bookmarkStart w:id="137" w:name="ref-segura2013"/>
      <w:bookmarkEnd w:id="136"/>
      <w:r>
        <w:t xml:space="preserve">Segura J, Ferretti L, Ramos-Onsins S, Capilla L, Farré M, Reis F, Oliver-Bonet M, Fernández-Bellón H, Garcia F, Garcia-Caldés M, others. 2013. Evolution of recombination in eutherian mammals: Insights into mechanisms that affect recombination rates and crossover interference. </w:t>
      </w:r>
      <w:r>
        <w:rPr>
          <w:i/>
        </w:rPr>
        <w:t>Proceedings of the Royal Society B: Biological Sciences</w:t>
      </w:r>
      <w:r>
        <w:t xml:space="preserve"> </w:t>
      </w:r>
      <w:r>
        <w:rPr>
          <w:b/>
        </w:rPr>
        <w:t>280</w:t>
      </w:r>
      <w:r>
        <w:t>:20131945.</w:t>
      </w:r>
    </w:p>
    <w:p w14:paraId="7F06700D" w14:textId="77777777" w:rsidR="00404D7B" w:rsidRDefault="00A70004" w:rsidP="003A6557">
      <w:pPr>
        <w:pStyle w:val="Bibliography"/>
        <w:spacing w:line="360" w:lineRule="auto"/>
      </w:pPr>
      <w:bookmarkStart w:id="138" w:name="ref-Shen2018_cattle"/>
      <w:bookmarkEnd w:id="137"/>
      <w:r>
        <w:t xml:space="preserve">Shen B, Jiang J, Seroussi E, Liu GE, Ma L. 2018. Characterization of recombination features and the genetic basis in multiple cattle breeds. </w:t>
      </w:r>
      <w:r>
        <w:rPr>
          <w:i/>
        </w:rPr>
        <w:t>BMC genomics</w:t>
      </w:r>
      <w:r>
        <w:t xml:space="preserve"> </w:t>
      </w:r>
      <w:r>
        <w:rPr>
          <w:b/>
        </w:rPr>
        <w:t>19</w:t>
      </w:r>
      <w:r>
        <w:t>:304.</w:t>
      </w:r>
    </w:p>
    <w:p w14:paraId="350592F7" w14:textId="77777777" w:rsidR="00404D7B" w:rsidRDefault="00A70004" w:rsidP="003A6557">
      <w:pPr>
        <w:pStyle w:val="Bibliography"/>
        <w:spacing w:line="360" w:lineRule="auto"/>
      </w:pPr>
      <w:bookmarkStart w:id="139" w:name="ref-So2019"/>
      <w:bookmarkEnd w:id="138"/>
      <w:r>
        <w:t xml:space="preserve">So C, Seres KB, Steyer AM, Mönnich E, Clift D, Pejkovska A, Möbius W, Schuh M. 2019. A liquid-like spindle domain promotes acentrosomal spindle assembly in mammalian oocytes. </w:t>
      </w:r>
      <w:r>
        <w:rPr>
          <w:i/>
        </w:rPr>
        <w:t>Science</w:t>
      </w:r>
      <w:r>
        <w:t xml:space="preserve"> </w:t>
      </w:r>
      <w:r>
        <w:rPr>
          <w:b/>
        </w:rPr>
        <w:t>364</w:t>
      </w:r>
      <w:r>
        <w:t>:eaat9557.</w:t>
      </w:r>
    </w:p>
    <w:p w14:paraId="31E3EB78" w14:textId="77777777" w:rsidR="00404D7B" w:rsidRDefault="00A70004" w:rsidP="003A6557">
      <w:pPr>
        <w:pStyle w:val="Bibliography"/>
        <w:spacing w:line="360" w:lineRule="auto"/>
      </w:pPr>
      <w:bookmarkStart w:id="140" w:name="ref-srivastava2017CC"/>
      <w:bookmarkEnd w:id="139"/>
      <w:r>
        <w:t xml:space="preserve">Srivastava A, Morgan AP, Najarian ML, Sarsani VK, Sigmon JS, Shorter JR, Kashfeen A, McMullan RC, Williams LH, Giusti-Rodrı́guez P, others. 2017. Genomes of the mouse collaborative cross. </w:t>
      </w:r>
      <w:r>
        <w:rPr>
          <w:i/>
        </w:rPr>
        <w:t>Genetics</w:t>
      </w:r>
      <w:r>
        <w:t xml:space="preserve"> </w:t>
      </w:r>
      <w:r>
        <w:rPr>
          <w:b/>
        </w:rPr>
        <w:t>206</w:t>
      </w:r>
      <w:r>
        <w:t>:537–556.</w:t>
      </w:r>
    </w:p>
    <w:p w14:paraId="0FCD16FD" w14:textId="77777777" w:rsidR="00404D7B" w:rsidRDefault="00A70004" w:rsidP="003A6557">
      <w:pPr>
        <w:pStyle w:val="Bibliography"/>
        <w:spacing w:line="360" w:lineRule="auto"/>
      </w:pPr>
      <w:bookmarkStart w:id="141" w:name="ref-subramanian2014"/>
      <w:bookmarkEnd w:id="140"/>
      <w:r>
        <w:t xml:space="preserve">Subramanian VV, Hochwagen A. 2014. The meiotic checkpoint network: Step-by-step through meiotic prophase. </w:t>
      </w:r>
      <w:r>
        <w:rPr>
          <w:i/>
        </w:rPr>
        <w:t>Cold Spring Harbor perspectives in biology</w:t>
      </w:r>
      <w:r>
        <w:t xml:space="preserve"> </w:t>
      </w:r>
      <w:r>
        <w:rPr>
          <w:b/>
        </w:rPr>
        <w:t>6</w:t>
      </w:r>
      <w:r>
        <w:t>:a016675.</w:t>
      </w:r>
    </w:p>
    <w:p w14:paraId="49F7AAD2" w14:textId="77777777" w:rsidR="00404D7B" w:rsidRDefault="00A70004" w:rsidP="003A6557">
      <w:pPr>
        <w:pStyle w:val="Bibliography"/>
        <w:spacing w:line="360" w:lineRule="auto"/>
      </w:pPr>
      <w:bookmarkStart w:id="142" w:name="ref-Rstudio"/>
      <w:bookmarkEnd w:id="141"/>
      <w:r>
        <w:t>Team R. 2015. RStudio: Integrated Development Environment for R.</w:t>
      </w:r>
    </w:p>
    <w:p w14:paraId="3D611BFF" w14:textId="77777777" w:rsidR="00404D7B" w:rsidRDefault="00A70004" w:rsidP="003A6557">
      <w:pPr>
        <w:pStyle w:val="Bibliography"/>
        <w:spacing w:line="360" w:lineRule="auto"/>
      </w:pPr>
      <w:bookmarkStart w:id="143" w:name="ref-tease2004"/>
      <w:bookmarkEnd w:id="142"/>
      <w:r>
        <w:t xml:space="preserve">Tease C, Hulten M. 2004. Inter-sex variation in synaptonemal complex lengths largely determine the different recombination rates in male and female germ cells. </w:t>
      </w:r>
      <w:r>
        <w:rPr>
          <w:i/>
        </w:rPr>
        <w:t>Cytogenetic and genome research</w:t>
      </w:r>
      <w:r>
        <w:t xml:space="preserve"> </w:t>
      </w:r>
      <w:r>
        <w:rPr>
          <w:b/>
        </w:rPr>
        <w:t>107</w:t>
      </w:r>
      <w:r>
        <w:t>:208–215.</w:t>
      </w:r>
    </w:p>
    <w:p w14:paraId="517BDA15" w14:textId="77777777" w:rsidR="00404D7B" w:rsidRDefault="00A70004" w:rsidP="003A6557">
      <w:pPr>
        <w:pStyle w:val="Bibliography"/>
        <w:spacing w:line="360" w:lineRule="auto"/>
      </w:pPr>
      <w:bookmarkStart w:id="144" w:name="ref-vanVeen2003"/>
      <w:bookmarkEnd w:id="143"/>
      <w:r>
        <w:t xml:space="preserve">VanVeen JE, Hawley RS. 2003. Meiosis: When even two is a crowd. </w:t>
      </w:r>
      <w:r>
        <w:rPr>
          <w:i/>
        </w:rPr>
        <w:t>Current Biology</w:t>
      </w:r>
      <w:r>
        <w:t xml:space="preserve"> </w:t>
      </w:r>
      <w:r>
        <w:rPr>
          <w:b/>
        </w:rPr>
        <w:t>13</w:t>
      </w:r>
      <w:r>
        <w:t>:R831–R833.</w:t>
      </w:r>
    </w:p>
    <w:p w14:paraId="176A264E" w14:textId="77777777" w:rsidR="00404D7B" w:rsidRDefault="00A70004" w:rsidP="003A6557">
      <w:pPr>
        <w:pStyle w:val="Bibliography"/>
        <w:spacing w:line="360" w:lineRule="auto"/>
      </w:pPr>
      <w:bookmarkStart w:id="145" w:name="ref-wang2019_SC"/>
      <w:bookmarkEnd w:id="144"/>
      <w:r>
        <w:t xml:space="preserve">Wang RJ, Dumont BL, Jing P, Payseur BA. 2019. A first genetic portrait of synaptonemal complex variation. </w:t>
      </w:r>
      <w:r>
        <w:rPr>
          <w:i/>
        </w:rPr>
        <w:t>PLoS genetics</w:t>
      </w:r>
      <w:r>
        <w:t xml:space="preserve"> </w:t>
      </w:r>
      <w:r>
        <w:rPr>
          <w:b/>
        </w:rPr>
        <w:t>15</w:t>
      </w:r>
      <w:r>
        <w:t>:e1008337.</w:t>
      </w:r>
    </w:p>
    <w:p w14:paraId="5E4C4D89" w14:textId="77777777" w:rsidR="00404D7B" w:rsidRDefault="00A70004" w:rsidP="003A6557">
      <w:pPr>
        <w:pStyle w:val="Bibliography"/>
        <w:spacing w:line="360" w:lineRule="auto"/>
      </w:pPr>
      <w:bookmarkStart w:id="146" w:name="ref-Wang2017island"/>
      <w:bookmarkEnd w:id="145"/>
      <w:r>
        <w:t xml:space="preserve">Wang RJ, Payseur BA. 2017. Genetics of genome-wide recombination rate evolution in mice from an isolated island. </w:t>
      </w:r>
      <w:r>
        <w:rPr>
          <w:i/>
        </w:rPr>
        <w:t>Genetics</w:t>
      </w:r>
      <w:r>
        <w:t xml:space="preserve"> </w:t>
      </w:r>
      <w:r>
        <w:rPr>
          <w:b/>
        </w:rPr>
        <w:t>206</w:t>
      </w:r>
      <w:r>
        <w:t>:1841–1852.</w:t>
      </w:r>
    </w:p>
    <w:p w14:paraId="30475A63" w14:textId="77777777" w:rsidR="00404D7B" w:rsidRDefault="00A70004" w:rsidP="003A6557">
      <w:pPr>
        <w:pStyle w:val="Bibliography"/>
        <w:spacing w:line="360" w:lineRule="auto"/>
      </w:pPr>
      <w:bookmarkStart w:id="147" w:name="ref-wang2017inefficient"/>
      <w:bookmarkEnd w:id="146"/>
      <w:r>
        <w:t xml:space="preserve">Wang S, Hassold T, Hunt P, White MA, Zickler D, Kleckner N, Zhang L. 2017. Inefficient crossover maturation underlies elevated aneuploidy in human female meiosis. </w:t>
      </w:r>
      <w:r>
        <w:rPr>
          <w:i/>
        </w:rPr>
        <w:t>Cell</w:t>
      </w:r>
      <w:r>
        <w:t xml:space="preserve"> </w:t>
      </w:r>
      <w:r>
        <w:rPr>
          <w:b/>
        </w:rPr>
        <w:t>168</w:t>
      </w:r>
      <w:r>
        <w:t>:977–989.</w:t>
      </w:r>
    </w:p>
    <w:p w14:paraId="3C6344BB" w14:textId="77777777" w:rsidR="00404D7B" w:rsidRDefault="00A70004" w:rsidP="003A6557">
      <w:pPr>
        <w:pStyle w:val="Bibliography"/>
        <w:spacing w:line="360" w:lineRule="auto"/>
      </w:pPr>
      <w:bookmarkStart w:id="148" w:name="ref-wong2010dog"/>
      <w:bookmarkEnd w:id="147"/>
      <w:r>
        <w:t xml:space="preserve">Wong AK, Ruhe AL, Dumont BL, Robertson KR, Guerrero G, Shull SM, Ziegle JS, Millon LV, Broman KW, Payseur BA, others. 2010. A comprehensive linkage map of the dog genome. </w:t>
      </w:r>
      <w:r>
        <w:rPr>
          <w:i/>
        </w:rPr>
        <w:t>Genetics</w:t>
      </w:r>
      <w:r>
        <w:t xml:space="preserve"> </w:t>
      </w:r>
      <w:r>
        <w:rPr>
          <w:b/>
        </w:rPr>
        <w:t>184</w:t>
      </w:r>
      <w:r>
        <w:t>:595–605.</w:t>
      </w:r>
      <w:bookmarkEnd w:id="88"/>
      <w:bookmarkEnd w:id="148"/>
    </w:p>
    <w:sectPr w:rsidR="00404D7B" w:rsidSect="004229ED">
      <w:footerReference w:type="default" r:id="rId11"/>
      <w:pgSz w:w="12240" w:h="15840"/>
      <w:pgMar w:top="1440" w:right="1440" w:bottom="1440" w:left="1440" w:header="720" w:footer="720" w:gutter="0"/>
      <w:lnNumType w:countBy="1" w:restart="continuous"/>
      <w:pgNumType w:start="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ret Payseur" w:date="2020-06-26T10:03:00Z" w:initials="BP">
    <w:p w14:paraId="52321F33" w14:textId="77777777" w:rsidR="007D45C0" w:rsidRDefault="007D45C0">
      <w:pPr>
        <w:pStyle w:val="CommentText"/>
        <w:rPr>
          <w:sz w:val="24"/>
          <w:szCs w:val="24"/>
        </w:rPr>
      </w:pPr>
      <w:r>
        <w:rPr>
          <w:rStyle w:val="CommentReference"/>
        </w:rPr>
        <w:annotationRef/>
      </w:r>
      <w:r w:rsidRPr="00D012CD">
        <w:rPr>
          <w:sz w:val="24"/>
          <w:szCs w:val="24"/>
        </w:rPr>
        <w:t>Maynard Smith J, Haigh J (1974) The hitch-hiking effect of a favourable gene. Genet Res 23: 23–35.</w:t>
      </w:r>
    </w:p>
    <w:p w14:paraId="09CAE1D0" w14:textId="10B19CFC" w:rsidR="007D45C0" w:rsidRDefault="007D45C0">
      <w:pPr>
        <w:pStyle w:val="CommentText"/>
      </w:pPr>
      <w:r w:rsidRPr="00D012CD">
        <w:rPr>
          <w:sz w:val="24"/>
          <w:szCs w:val="24"/>
        </w:rPr>
        <w:t>Charlesworth B, Morgan MT, Charlesworth D (1993) The effect of deleterious mutations on neutral molecular variation. Genetics 134: 1289–1303.</w:t>
      </w:r>
    </w:p>
  </w:comment>
  <w:comment w:id="5" w:author="Bret Payseur" w:date="2020-06-23T10:30:00Z" w:initials="BP">
    <w:p w14:paraId="3CF6A194" w14:textId="77777777" w:rsidR="00BE2FD1" w:rsidRDefault="00BE2FD1" w:rsidP="00BE2FD1">
      <w:pPr>
        <w:pStyle w:val="CommentText"/>
      </w:pPr>
      <w:r>
        <w:rPr>
          <w:rStyle w:val="CommentReference"/>
        </w:rPr>
        <w:annotationRef/>
      </w:r>
      <w:r>
        <w:t>Full reference?</w:t>
      </w:r>
    </w:p>
  </w:comment>
  <w:comment w:id="8" w:author="Bret Payseur" w:date="2020-06-23T10:30:00Z" w:initials="BP">
    <w:p w14:paraId="091F283B" w14:textId="7DAB4AEA" w:rsidR="007D45C0" w:rsidRDefault="007D45C0">
      <w:pPr>
        <w:pStyle w:val="CommentText"/>
      </w:pPr>
      <w:r>
        <w:rPr>
          <w:rStyle w:val="CommentReference"/>
        </w:rPr>
        <w:annotationRef/>
      </w:r>
      <w:r>
        <w:t>Full reference?</w:t>
      </w:r>
    </w:p>
  </w:comment>
  <w:comment w:id="11" w:author="Bret Payseur" w:date="2020-06-30T10:42:00Z" w:initials="BP">
    <w:p w14:paraId="528B8FFC" w14:textId="546EF8EA" w:rsidR="006F7F39" w:rsidRDefault="006F7F39">
      <w:pPr>
        <w:pStyle w:val="CommentText"/>
      </w:pPr>
      <w:r>
        <w:rPr>
          <w:rStyle w:val="CommentReference"/>
        </w:rPr>
        <w:annotationRef/>
      </w:r>
      <w:r>
        <w:t>These references can be found in Brandvain and Coop, 2012</w:t>
      </w:r>
    </w:p>
  </w:comment>
  <w:comment w:id="16" w:author="Bret Payseur" w:date="2020-06-30T10:41:00Z" w:initials="BP">
    <w:p w14:paraId="1A0E2551" w14:textId="145FFC3D" w:rsidR="006F7F39" w:rsidRDefault="006F7F39">
      <w:pPr>
        <w:pStyle w:val="CommentText"/>
      </w:pPr>
      <w:r>
        <w:rPr>
          <w:rStyle w:val="CommentReference"/>
        </w:rPr>
        <w:annotationRef/>
      </w:r>
      <w:r>
        <w:t>These references can be found in Brandvain and Coop, 2012</w:t>
      </w:r>
    </w:p>
  </w:comment>
  <w:comment w:id="20" w:author="Bret Payseur" w:date="2020-06-26T10:06:00Z" w:initials="BP">
    <w:p w14:paraId="0F4D656F" w14:textId="5C75FB5E" w:rsidR="007D45C0" w:rsidRDefault="007D45C0">
      <w:pPr>
        <w:pStyle w:val="CommentText"/>
      </w:pPr>
      <w:r>
        <w:rPr>
          <w:rStyle w:val="CommentReference"/>
        </w:rPr>
        <w:annotationRef/>
      </w:r>
      <w:r>
        <w:rPr>
          <w:rStyle w:val="nlmstring-name"/>
        </w:rPr>
        <w:t xml:space="preserve">Campbell </w:t>
      </w:r>
      <w:r>
        <w:rPr>
          <w:rStyle w:val="nlmgiven-names"/>
        </w:rPr>
        <w:t>CL</w:t>
      </w:r>
      <w:r>
        <w:t xml:space="preserve">, </w:t>
      </w:r>
      <w:r>
        <w:rPr>
          <w:rStyle w:val="nlmstring-name"/>
        </w:rPr>
        <w:t xml:space="preserve">Bhérer </w:t>
      </w:r>
      <w:r>
        <w:rPr>
          <w:rStyle w:val="nlmgiven-names"/>
        </w:rPr>
        <w:t>C</w:t>
      </w:r>
      <w:r>
        <w:t xml:space="preserve">, </w:t>
      </w:r>
      <w:r>
        <w:rPr>
          <w:rStyle w:val="nlmstring-name"/>
        </w:rPr>
        <w:t xml:space="preserve">Morrow </w:t>
      </w:r>
      <w:r>
        <w:rPr>
          <w:rStyle w:val="nlmgiven-names"/>
        </w:rPr>
        <w:t>BE</w:t>
      </w:r>
      <w:r>
        <w:t xml:space="preserve">, </w:t>
      </w:r>
      <w:r>
        <w:rPr>
          <w:rStyle w:val="nlmstring-name"/>
        </w:rPr>
        <w:t xml:space="preserve">Boyko </w:t>
      </w:r>
      <w:r>
        <w:rPr>
          <w:rStyle w:val="nlmgiven-names"/>
        </w:rPr>
        <w:t>AR</w:t>
      </w:r>
      <w:r>
        <w:t xml:space="preserve">, </w:t>
      </w:r>
      <w:r>
        <w:rPr>
          <w:rStyle w:val="nlmstring-name"/>
        </w:rPr>
        <w:t xml:space="preserve">Auton </w:t>
      </w:r>
      <w:r>
        <w:rPr>
          <w:rStyle w:val="nlmgiven-names"/>
        </w:rPr>
        <w:t>A</w:t>
      </w:r>
      <w:r>
        <w:t xml:space="preserve">. </w:t>
      </w:r>
      <w:r w:rsidRPr="00D012CD">
        <w:rPr>
          <w:rStyle w:val="Strong"/>
          <w:b w:val="0"/>
          <w:bCs w:val="0"/>
        </w:rPr>
        <w:t>2016</w:t>
      </w:r>
      <w:r w:rsidRPr="00D012CD">
        <w:rPr>
          <w:b/>
        </w:rPr>
        <w:t>.</w:t>
      </w:r>
      <w:r>
        <w:t xml:space="preserve"> </w:t>
      </w:r>
      <w:r>
        <w:rPr>
          <w:rStyle w:val="nlmarticle-title"/>
        </w:rPr>
        <w:t>Pedigree-based map of recombination in the domestic dog genome</w:t>
      </w:r>
      <w:r>
        <w:t xml:space="preserve">. </w:t>
      </w:r>
      <w:r>
        <w:rPr>
          <w:i/>
          <w:iCs/>
        </w:rPr>
        <w:t>Genes Genom. Genet.</w:t>
      </w:r>
      <w:r>
        <w:t xml:space="preserve"> 6:</w:t>
      </w:r>
      <w:r>
        <w:rPr>
          <w:rStyle w:val="nlmfpage"/>
        </w:rPr>
        <w:t>3517</w:t>
      </w:r>
      <w:r>
        <w:t>–</w:t>
      </w:r>
      <w:r>
        <w:rPr>
          <w:rStyle w:val="nlmlpage"/>
        </w:rPr>
        <w:t>24</w:t>
      </w:r>
    </w:p>
  </w:comment>
  <w:comment w:id="23" w:author="Bret Payseur" w:date="2020-06-26T11:36:00Z" w:initials="BP">
    <w:p w14:paraId="6DC14E36" w14:textId="77777777" w:rsidR="006F7F39" w:rsidRDefault="006F7F39" w:rsidP="006F7F39">
      <w:pPr>
        <w:autoSpaceDE w:val="0"/>
        <w:autoSpaceDN w:val="0"/>
        <w:adjustRightInd w:val="0"/>
        <w:spacing w:after="0"/>
        <w:rPr>
          <w:rFonts w:ascii="Times-Roman" w:hAnsi="Times-Roman" w:cs="Times-Roman"/>
          <w:sz w:val="16"/>
          <w:szCs w:val="16"/>
        </w:rPr>
      </w:pPr>
      <w:r>
        <w:rPr>
          <w:rStyle w:val="CommentReference"/>
        </w:rPr>
        <w:annotationRef/>
      </w:r>
      <w:r>
        <w:rPr>
          <w:rFonts w:ascii="Times-Roman" w:hAnsi="Times-Roman" w:cs="Times-Roman"/>
          <w:sz w:val="16"/>
          <w:szCs w:val="16"/>
        </w:rPr>
        <w:t>Bolcun-Filas, E., and J. C. Schimenti. 2012. Genetics of meiosis and recombination</w:t>
      </w:r>
    </w:p>
    <w:p w14:paraId="2BE2583E" w14:textId="77777777" w:rsidR="006F7F39" w:rsidRDefault="006F7F39" w:rsidP="006F7F39">
      <w:pPr>
        <w:pStyle w:val="CommentText"/>
      </w:pPr>
      <w:r>
        <w:rPr>
          <w:rFonts w:ascii="Times-Roman" w:hAnsi="Times-Roman" w:cs="Times-Roman"/>
          <w:sz w:val="16"/>
          <w:szCs w:val="16"/>
        </w:rPr>
        <w:t>in mice. Int. Rev. Cell Mol. Biol. 298:179–227.</w:t>
      </w:r>
    </w:p>
  </w:comment>
  <w:comment w:id="28" w:author="Bret Payseur" w:date="2020-06-26T16:19:00Z" w:initials="BP">
    <w:p w14:paraId="673E299E" w14:textId="13F00A4C" w:rsidR="00DF42E0" w:rsidRDefault="00DF42E0">
      <w:pPr>
        <w:pStyle w:val="CommentText"/>
      </w:pPr>
      <w:r>
        <w:rPr>
          <w:rStyle w:val="CommentReference"/>
        </w:rPr>
        <w:annotationRef/>
      </w:r>
      <w:r w:rsidR="00DB28A8">
        <w:rPr>
          <w:noProof/>
        </w:rPr>
        <w:t>Needs a number</w:t>
      </w:r>
    </w:p>
  </w:comment>
  <w:comment w:id="30" w:author="Bret Payseur" w:date="2020-06-29T08:40:00Z" w:initials="BP">
    <w:p w14:paraId="63B1C43F" w14:textId="2B7D596B" w:rsidR="00FF2008" w:rsidRDefault="00FF2008">
      <w:pPr>
        <w:pStyle w:val="CommentText"/>
      </w:pPr>
      <w:r>
        <w:rPr>
          <w:rStyle w:val="CommentReference"/>
        </w:rPr>
        <w:annotationRef/>
      </w:r>
      <w:r>
        <w:t>Something is missing from these p-values</w:t>
      </w:r>
    </w:p>
  </w:comment>
  <w:comment w:id="42" w:author="April Peterson" w:date="2020-06-30T13:57:00Z" w:initials="AP">
    <w:p w14:paraId="2A18EE07" w14:textId="2460353A" w:rsidR="00B81613" w:rsidRDefault="00B81613">
      <w:pPr>
        <w:pStyle w:val="CommentText"/>
      </w:pPr>
      <w:r>
        <w:rPr>
          <w:rStyle w:val="CommentReference"/>
        </w:rPr>
        <w:annotationRef/>
      </w:r>
      <w:r>
        <w:t>Second half of statement now refers to oocytes.</w:t>
      </w:r>
    </w:p>
  </w:comment>
  <w:comment w:id="50" w:author="Bret Payseur" w:date="2020-06-30T08:51:00Z" w:initials="BP">
    <w:p w14:paraId="016B533A" w14:textId="66A93951" w:rsidR="00084251" w:rsidRDefault="00084251">
      <w:pPr>
        <w:pStyle w:val="CommentText"/>
      </w:pPr>
      <w:r>
        <w:rPr>
          <w:rStyle w:val="CommentReference"/>
        </w:rPr>
        <w:annotationRef/>
      </w:r>
      <w:r>
        <w:t>This is not what you found</w:t>
      </w:r>
    </w:p>
  </w:comment>
  <w:comment w:id="55" w:author="Bret Payseur" w:date="2020-06-26T16:34:00Z" w:initials="BP">
    <w:p w14:paraId="7EFAB58A" w14:textId="6015736A" w:rsidR="007C3F94" w:rsidRDefault="007C3F94">
      <w:pPr>
        <w:pStyle w:val="CommentText"/>
      </w:pPr>
      <w:r>
        <w:rPr>
          <w:rStyle w:val="CommentReference"/>
        </w:rPr>
        <w:annotationRef/>
      </w:r>
      <w:r w:rsidR="00DB28A8">
        <w:rPr>
          <w:noProof/>
        </w:rPr>
        <w:t>This is not the correct reference</w:t>
      </w:r>
    </w:p>
  </w:comment>
  <w:comment w:id="54" w:author="April Peterson" w:date="2020-06-30T14:03:00Z" w:initials="AP">
    <w:p w14:paraId="25C2F234" w14:textId="3200264D" w:rsidR="00B81613" w:rsidRDefault="00B81613">
      <w:pPr>
        <w:pStyle w:val="CommentText"/>
      </w:pPr>
      <w:r>
        <w:rPr>
          <w:rStyle w:val="CommentReference"/>
        </w:rPr>
        <w:annotationRef/>
      </w:r>
      <w:r>
        <w:t>Check how duplicate surnames are treated with bibtex</w:t>
      </w:r>
    </w:p>
  </w:comment>
  <w:comment w:id="62" w:author="April Peterson" w:date="2020-06-30T14:07:00Z" w:initials="AP">
    <w:p w14:paraId="257F7014" w14:textId="1A48A2B6" w:rsidR="0008652A" w:rsidRDefault="0008652A">
      <w:pPr>
        <w:pStyle w:val="CommentText"/>
      </w:pPr>
      <w:r>
        <w:rPr>
          <w:rStyle w:val="CommentReference"/>
        </w:rPr>
        <w:annotationRef/>
      </w:r>
      <w:r>
        <w:t>Explain that analysis focused on Dom, Musc, and Mol (for sample sizes?)</w:t>
      </w:r>
    </w:p>
  </w:comment>
  <w:comment w:id="72" w:author="April Peterson" w:date="2020-06-30T14:10:00Z" w:initials="AP">
    <w:p w14:paraId="4A091977" w14:textId="4271E0DE" w:rsidR="0008652A" w:rsidRDefault="0008652A">
      <w:pPr>
        <w:pStyle w:val="CommentText"/>
      </w:pPr>
      <w:r>
        <w:rPr>
          <w:rStyle w:val="CommentReference"/>
        </w:rPr>
        <w:annotationRef/>
      </w:r>
      <w:r>
        <w:t>Look into why so many parenthess added</w:t>
      </w:r>
    </w:p>
  </w:comment>
  <w:comment w:id="86" w:author="Bret Payseur" w:date="2020-06-30T10:48:00Z" w:initials="BP">
    <w:p w14:paraId="52602333" w14:textId="2FC0FDD2" w:rsidR="006F7F39" w:rsidRDefault="006F7F39">
      <w:pPr>
        <w:pStyle w:val="CommentText"/>
      </w:pPr>
      <w:r>
        <w:rPr>
          <w:rStyle w:val="CommentReference"/>
        </w:rPr>
        <w:annotationRef/>
      </w:r>
      <w:r>
        <w:t>I added and deleted several references in the main text, so this section will need to be revised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CAE1D0" w15:done="0"/>
  <w15:commentEx w15:paraId="3CF6A194" w15:done="0"/>
  <w15:commentEx w15:paraId="091F283B" w15:done="0"/>
  <w15:commentEx w15:paraId="528B8FFC" w15:done="0"/>
  <w15:commentEx w15:paraId="1A0E2551" w15:done="0"/>
  <w15:commentEx w15:paraId="0F4D656F" w15:done="0"/>
  <w15:commentEx w15:paraId="2BE2583E" w15:done="0"/>
  <w15:commentEx w15:paraId="673E299E" w15:done="0"/>
  <w15:commentEx w15:paraId="63B1C43F" w15:done="0"/>
  <w15:commentEx w15:paraId="2A18EE07" w15:done="0"/>
  <w15:commentEx w15:paraId="016B533A" w15:done="0"/>
  <w15:commentEx w15:paraId="7EFAB58A" w15:done="0"/>
  <w15:commentEx w15:paraId="25C2F234" w15:done="0"/>
  <w15:commentEx w15:paraId="257F7014" w15:done="0"/>
  <w15:commentEx w15:paraId="4A091977" w15:done="0"/>
  <w15:commentEx w15:paraId="52602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468B" w16cex:dateUtc="2020-06-26T15:03:00Z"/>
  <w16cex:commentExtensible w16cex:durableId="22A5933D" w16cex:dateUtc="2020-06-23T15:30:00Z"/>
  <w16cex:commentExtensible w16cex:durableId="229C5846" w16cex:dateUtc="2020-06-23T15:30:00Z"/>
  <w16cex:commentExtensible w16cex:durableId="22A595B0" w16cex:dateUtc="2020-06-30T15:42:00Z"/>
  <w16cex:commentExtensible w16cex:durableId="22A59561" w16cex:dateUtc="2020-06-30T15:41:00Z"/>
  <w16cex:commentExtensible w16cex:durableId="22A04713" w16cex:dateUtc="2020-06-26T15:06:00Z"/>
  <w16cex:commentExtensible w16cex:durableId="229C5E09" w16cex:dateUtc="2020-06-23T15:55:00Z"/>
  <w16cex:commentExtensible w16cex:durableId="229C625C" w16cex:dateUtc="2020-06-23T16:13:00Z"/>
  <w16cex:commentExtensible w16cex:durableId="229C646F" w16cex:dateUtc="2020-06-23T16:22:00Z"/>
  <w16cex:commentExtensible w16cex:durableId="229C648D" w16cex:dateUtc="2020-06-23T16:22:00Z"/>
  <w16cex:commentExtensible w16cex:durableId="22A05C4E" w16cex:dateUtc="2020-06-26T16:36:00Z"/>
  <w16cex:commentExtensible w16cex:durableId="22A09E79" w16cex:dateUtc="2020-06-26T21:19:00Z"/>
  <w16cex:commentExtensible w16cex:durableId="22A4278D" w16cex:dateUtc="2020-06-29T13:40:00Z"/>
  <w16cex:commentExtensible w16cex:durableId="22A57B87" w16cex:dateUtc="2020-06-30T13:51:00Z"/>
  <w16cex:commentExtensible w16cex:durableId="22A0A216" w16cex:dateUtc="2020-06-26T21:34:00Z"/>
  <w16cex:commentExtensible w16cex:durableId="22A596EF" w16cex:dateUtc="2020-06-30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CAE1D0" w16cid:durableId="22A0468B"/>
  <w16cid:commentId w16cid:paraId="3CF6A194" w16cid:durableId="22A5933D"/>
  <w16cid:commentId w16cid:paraId="091F283B" w16cid:durableId="229C5846"/>
  <w16cid:commentId w16cid:paraId="528B8FFC" w16cid:durableId="22A595B0"/>
  <w16cid:commentId w16cid:paraId="1A0E2551" w16cid:durableId="22A59561"/>
  <w16cid:commentId w16cid:paraId="0F4D656F" w16cid:durableId="22A04713"/>
  <w16cid:commentId w16cid:paraId="51513354" w16cid:durableId="229C5E09"/>
  <w16cid:commentId w16cid:paraId="006FA645" w16cid:durableId="229C625C"/>
  <w16cid:commentId w16cid:paraId="74641468" w16cid:durableId="229C646F"/>
  <w16cid:commentId w16cid:paraId="4BF2587C" w16cid:durableId="229C648D"/>
  <w16cid:commentId w16cid:paraId="2BE2583E" w16cid:durableId="22A05C4E"/>
  <w16cid:commentId w16cid:paraId="673E299E" w16cid:durableId="22A09E79"/>
  <w16cid:commentId w16cid:paraId="63B1C43F" w16cid:durableId="22A4278D"/>
  <w16cid:commentId w16cid:paraId="016B533A" w16cid:durableId="22A57B87"/>
  <w16cid:commentId w16cid:paraId="7EFAB58A" w16cid:durableId="22A0A216"/>
  <w16cid:commentId w16cid:paraId="52602333" w16cid:durableId="22A596E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05581" w14:textId="77777777" w:rsidR="004E1551" w:rsidRDefault="004E1551">
      <w:pPr>
        <w:spacing w:after="0"/>
      </w:pPr>
      <w:r>
        <w:separator/>
      </w:r>
    </w:p>
  </w:endnote>
  <w:endnote w:type="continuationSeparator" w:id="0">
    <w:p w14:paraId="2E3C6B96" w14:textId="77777777" w:rsidR="004E1551" w:rsidRDefault="004E15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090173"/>
      <w:docPartObj>
        <w:docPartGallery w:val="Page Numbers (Bottom of Page)"/>
        <w:docPartUnique/>
      </w:docPartObj>
    </w:sdtPr>
    <w:sdtEndPr>
      <w:rPr>
        <w:noProof/>
      </w:rPr>
    </w:sdtEndPr>
    <w:sdtContent>
      <w:p w14:paraId="4690552C" w14:textId="77777777" w:rsidR="007D45C0" w:rsidRDefault="007D45C0">
        <w:pPr>
          <w:pStyle w:val="Footer"/>
        </w:pPr>
        <w:r>
          <w:fldChar w:fldCharType="begin"/>
        </w:r>
        <w:r>
          <w:instrText xml:space="preserve"> PAGE   \* MERGEFORMAT </w:instrText>
        </w:r>
        <w:r>
          <w:fldChar w:fldCharType="separate"/>
        </w:r>
        <w:r>
          <w:rPr>
            <w:noProof/>
          </w:rPr>
          <w:t>20</w:t>
        </w:r>
        <w:r>
          <w:rPr>
            <w:noProof/>
          </w:rPr>
          <w:fldChar w:fldCharType="end"/>
        </w:r>
      </w:p>
    </w:sdtContent>
  </w:sdt>
  <w:p w14:paraId="2A204EDB" w14:textId="77777777" w:rsidR="007D45C0" w:rsidRDefault="007D4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555AA" w14:textId="77777777" w:rsidR="004E1551" w:rsidRDefault="004E1551">
      <w:r>
        <w:separator/>
      </w:r>
    </w:p>
  </w:footnote>
  <w:footnote w:type="continuationSeparator" w:id="0">
    <w:p w14:paraId="511D4930" w14:textId="77777777" w:rsidR="004E1551" w:rsidRDefault="004E1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098E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FF8"/>
    <w:rsid w:val="00031885"/>
    <w:rsid w:val="00062E22"/>
    <w:rsid w:val="00075A98"/>
    <w:rsid w:val="00081C38"/>
    <w:rsid w:val="00084251"/>
    <w:rsid w:val="0008652A"/>
    <w:rsid w:val="000E44C6"/>
    <w:rsid w:val="000E5DA7"/>
    <w:rsid w:val="000F5885"/>
    <w:rsid w:val="00116093"/>
    <w:rsid w:val="001363F1"/>
    <w:rsid w:val="001D38DE"/>
    <w:rsid w:val="001D5A46"/>
    <w:rsid w:val="00204FAF"/>
    <w:rsid w:val="002219EC"/>
    <w:rsid w:val="00226E0E"/>
    <w:rsid w:val="00232601"/>
    <w:rsid w:val="002358DF"/>
    <w:rsid w:val="00272630"/>
    <w:rsid w:val="00282DAA"/>
    <w:rsid w:val="002A0FF4"/>
    <w:rsid w:val="002C7DFB"/>
    <w:rsid w:val="002E7C8B"/>
    <w:rsid w:val="00305F43"/>
    <w:rsid w:val="0032040D"/>
    <w:rsid w:val="0032471B"/>
    <w:rsid w:val="003A6557"/>
    <w:rsid w:val="003B0224"/>
    <w:rsid w:val="00404D7B"/>
    <w:rsid w:val="004229ED"/>
    <w:rsid w:val="0044464C"/>
    <w:rsid w:val="00461446"/>
    <w:rsid w:val="00461BBC"/>
    <w:rsid w:val="0046324E"/>
    <w:rsid w:val="004A26D7"/>
    <w:rsid w:val="004A4900"/>
    <w:rsid w:val="004D233C"/>
    <w:rsid w:val="004E1551"/>
    <w:rsid w:val="004E29B3"/>
    <w:rsid w:val="00505CA8"/>
    <w:rsid w:val="00590D07"/>
    <w:rsid w:val="005965F0"/>
    <w:rsid w:val="005A46E5"/>
    <w:rsid w:val="005C28E0"/>
    <w:rsid w:val="005F0130"/>
    <w:rsid w:val="006139D6"/>
    <w:rsid w:val="00616101"/>
    <w:rsid w:val="006415F2"/>
    <w:rsid w:val="00657109"/>
    <w:rsid w:val="006826A5"/>
    <w:rsid w:val="00687C0D"/>
    <w:rsid w:val="006E255B"/>
    <w:rsid w:val="006E38AC"/>
    <w:rsid w:val="006F7F39"/>
    <w:rsid w:val="00703951"/>
    <w:rsid w:val="00707942"/>
    <w:rsid w:val="00711D86"/>
    <w:rsid w:val="00716D96"/>
    <w:rsid w:val="00726B11"/>
    <w:rsid w:val="00727F36"/>
    <w:rsid w:val="007658C1"/>
    <w:rsid w:val="00784D58"/>
    <w:rsid w:val="007A56A7"/>
    <w:rsid w:val="007C3F94"/>
    <w:rsid w:val="007D45C0"/>
    <w:rsid w:val="008124AD"/>
    <w:rsid w:val="00816A2D"/>
    <w:rsid w:val="00845D2F"/>
    <w:rsid w:val="00870382"/>
    <w:rsid w:val="008749CB"/>
    <w:rsid w:val="00881BF1"/>
    <w:rsid w:val="00885E20"/>
    <w:rsid w:val="0089567A"/>
    <w:rsid w:val="008A6A10"/>
    <w:rsid w:val="008D6863"/>
    <w:rsid w:val="00954D8B"/>
    <w:rsid w:val="00957CD7"/>
    <w:rsid w:val="00964828"/>
    <w:rsid w:val="00986FEF"/>
    <w:rsid w:val="009873F8"/>
    <w:rsid w:val="009A559B"/>
    <w:rsid w:val="00A24835"/>
    <w:rsid w:val="00A322BE"/>
    <w:rsid w:val="00A70004"/>
    <w:rsid w:val="00A82D1F"/>
    <w:rsid w:val="00A87F86"/>
    <w:rsid w:val="00A91470"/>
    <w:rsid w:val="00AA5D51"/>
    <w:rsid w:val="00AE4C0D"/>
    <w:rsid w:val="00B45D6A"/>
    <w:rsid w:val="00B5642E"/>
    <w:rsid w:val="00B5687E"/>
    <w:rsid w:val="00B71687"/>
    <w:rsid w:val="00B81613"/>
    <w:rsid w:val="00B86B75"/>
    <w:rsid w:val="00B9644D"/>
    <w:rsid w:val="00BC0676"/>
    <w:rsid w:val="00BC48D5"/>
    <w:rsid w:val="00BC5284"/>
    <w:rsid w:val="00BE2FD1"/>
    <w:rsid w:val="00C14001"/>
    <w:rsid w:val="00C36279"/>
    <w:rsid w:val="00C43FF4"/>
    <w:rsid w:val="00C527A0"/>
    <w:rsid w:val="00C853BC"/>
    <w:rsid w:val="00CA277A"/>
    <w:rsid w:val="00CB4DB8"/>
    <w:rsid w:val="00CC23EC"/>
    <w:rsid w:val="00D11031"/>
    <w:rsid w:val="00D46DE8"/>
    <w:rsid w:val="00D804B9"/>
    <w:rsid w:val="00DB28A8"/>
    <w:rsid w:val="00DF0707"/>
    <w:rsid w:val="00DF42E0"/>
    <w:rsid w:val="00DF5337"/>
    <w:rsid w:val="00DF5A06"/>
    <w:rsid w:val="00E14355"/>
    <w:rsid w:val="00E315A3"/>
    <w:rsid w:val="00E518F5"/>
    <w:rsid w:val="00E563BB"/>
    <w:rsid w:val="00E655D6"/>
    <w:rsid w:val="00E85641"/>
    <w:rsid w:val="00E85A38"/>
    <w:rsid w:val="00EA7B43"/>
    <w:rsid w:val="00EA7C57"/>
    <w:rsid w:val="00EC6B80"/>
    <w:rsid w:val="00ED45DB"/>
    <w:rsid w:val="00EF7E84"/>
    <w:rsid w:val="00F60D42"/>
    <w:rsid w:val="00F90607"/>
    <w:rsid w:val="00FD1DDF"/>
    <w:rsid w:val="00FF2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329E3B67"/>
  <w15:docId w15:val="{8DAA632F-54BC-4288-95FE-2EF163D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160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6093"/>
    <w:rPr>
      <w:rFonts w:ascii="Segoe UI" w:hAnsi="Segoe UI" w:cs="Segoe UI"/>
      <w:sz w:val="18"/>
      <w:szCs w:val="18"/>
    </w:rPr>
  </w:style>
  <w:style w:type="character" w:styleId="LineNumber">
    <w:name w:val="line number"/>
    <w:basedOn w:val="DefaultParagraphFont"/>
    <w:semiHidden/>
    <w:unhideWhenUsed/>
    <w:rsid w:val="00986FEF"/>
  </w:style>
  <w:style w:type="paragraph" w:styleId="NoSpacing">
    <w:name w:val="No Spacing"/>
    <w:link w:val="NoSpacingChar"/>
    <w:uiPriority w:val="1"/>
    <w:qFormat/>
    <w:rsid w:val="004229ED"/>
    <w:pPr>
      <w:spacing w:after="0"/>
    </w:pPr>
    <w:rPr>
      <w:rFonts w:eastAsiaTheme="minorEastAsia"/>
      <w:sz w:val="22"/>
      <w:szCs w:val="22"/>
    </w:rPr>
  </w:style>
  <w:style w:type="character" w:customStyle="1" w:styleId="NoSpacingChar">
    <w:name w:val="No Spacing Char"/>
    <w:basedOn w:val="DefaultParagraphFont"/>
    <w:link w:val="NoSpacing"/>
    <w:uiPriority w:val="1"/>
    <w:rsid w:val="004229ED"/>
    <w:rPr>
      <w:rFonts w:eastAsiaTheme="minorEastAsia"/>
      <w:sz w:val="22"/>
      <w:szCs w:val="22"/>
    </w:rPr>
  </w:style>
  <w:style w:type="paragraph" w:styleId="Header">
    <w:name w:val="header"/>
    <w:basedOn w:val="Normal"/>
    <w:link w:val="HeaderChar"/>
    <w:unhideWhenUsed/>
    <w:rsid w:val="004229ED"/>
    <w:pPr>
      <w:tabs>
        <w:tab w:val="center" w:pos="4680"/>
        <w:tab w:val="right" w:pos="9360"/>
      </w:tabs>
      <w:spacing w:after="0"/>
    </w:pPr>
  </w:style>
  <w:style w:type="character" w:customStyle="1" w:styleId="HeaderChar">
    <w:name w:val="Header Char"/>
    <w:basedOn w:val="DefaultParagraphFont"/>
    <w:link w:val="Header"/>
    <w:rsid w:val="004229ED"/>
  </w:style>
  <w:style w:type="paragraph" w:styleId="Footer">
    <w:name w:val="footer"/>
    <w:basedOn w:val="Normal"/>
    <w:link w:val="FooterChar"/>
    <w:uiPriority w:val="99"/>
    <w:unhideWhenUsed/>
    <w:rsid w:val="004229ED"/>
    <w:pPr>
      <w:tabs>
        <w:tab w:val="center" w:pos="4680"/>
        <w:tab w:val="right" w:pos="9360"/>
      </w:tabs>
      <w:spacing w:after="0"/>
    </w:pPr>
  </w:style>
  <w:style w:type="character" w:customStyle="1" w:styleId="FooterChar">
    <w:name w:val="Footer Char"/>
    <w:basedOn w:val="DefaultParagraphFont"/>
    <w:link w:val="Footer"/>
    <w:uiPriority w:val="99"/>
    <w:rsid w:val="004229ED"/>
  </w:style>
  <w:style w:type="character" w:styleId="CommentReference">
    <w:name w:val="annotation reference"/>
    <w:basedOn w:val="DefaultParagraphFont"/>
    <w:semiHidden/>
    <w:unhideWhenUsed/>
    <w:rsid w:val="00A87F86"/>
    <w:rPr>
      <w:sz w:val="16"/>
      <w:szCs w:val="16"/>
    </w:rPr>
  </w:style>
  <w:style w:type="paragraph" w:styleId="CommentText">
    <w:name w:val="annotation text"/>
    <w:basedOn w:val="Normal"/>
    <w:link w:val="CommentTextChar"/>
    <w:semiHidden/>
    <w:unhideWhenUsed/>
    <w:rsid w:val="00A87F86"/>
    <w:rPr>
      <w:sz w:val="20"/>
      <w:szCs w:val="20"/>
    </w:rPr>
  </w:style>
  <w:style w:type="character" w:customStyle="1" w:styleId="CommentTextChar">
    <w:name w:val="Comment Text Char"/>
    <w:basedOn w:val="DefaultParagraphFont"/>
    <w:link w:val="CommentText"/>
    <w:semiHidden/>
    <w:rsid w:val="00A87F86"/>
    <w:rPr>
      <w:sz w:val="20"/>
      <w:szCs w:val="20"/>
    </w:rPr>
  </w:style>
  <w:style w:type="paragraph" w:styleId="CommentSubject">
    <w:name w:val="annotation subject"/>
    <w:basedOn w:val="CommentText"/>
    <w:next w:val="CommentText"/>
    <w:link w:val="CommentSubjectChar"/>
    <w:semiHidden/>
    <w:unhideWhenUsed/>
    <w:rsid w:val="00A87F86"/>
    <w:rPr>
      <w:b/>
      <w:bCs/>
    </w:rPr>
  </w:style>
  <w:style w:type="character" w:customStyle="1" w:styleId="CommentSubjectChar">
    <w:name w:val="Comment Subject Char"/>
    <w:basedOn w:val="CommentTextChar"/>
    <w:link w:val="CommentSubject"/>
    <w:semiHidden/>
    <w:rsid w:val="00A87F86"/>
    <w:rPr>
      <w:b/>
      <w:bCs/>
      <w:sz w:val="20"/>
      <w:szCs w:val="20"/>
    </w:rPr>
  </w:style>
  <w:style w:type="paragraph" w:styleId="Revision">
    <w:name w:val="Revision"/>
    <w:hidden/>
    <w:semiHidden/>
    <w:rsid w:val="004A4900"/>
    <w:pPr>
      <w:spacing w:after="0"/>
    </w:pPr>
  </w:style>
  <w:style w:type="character" w:customStyle="1" w:styleId="nlmstring-name">
    <w:name w:val="nlm_string-name"/>
    <w:basedOn w:val="DefaultParagraphFont"/>
    <w:rsid w:val="007658C1"/>
  </w:style>
  <w:style w:type="character" w:customStyle="1" w:styleId="nlmgiven-names">
    <w:name w:val="nlm_given-names"/>
    <w:basedOn w:val="DefaultParagraphFont"/>
    <w:rsid w:val="007658C1"/>
  </w:style>
  <w:style w:type="character" w:styleId="Strong">
    <w:name w:val="Strong"/>
    <w:basedOn w:val="DefaultParagraphFont"/>
    <w:uiPriority w:val="22"/>
    <w:qFormat/>
    <w:rsid w:val="007658C1"/>
    <w:rPr>
      <w:b/>
      <w:bCs/>
    </w:rPr>
  </w:style>
  <w:style w:type="character" w:customStyle="1" w:styleId="nlmarticle-title">
    <w:name w:val="nlm_article-title"/>
    <w:basedOn w:val="DefaultParagraphFont"/>
    <w:rsid w:val="007658C1"/>
  </w:style>
  <w:style w:type="character" w:customStyle="1" w:styleId="nlmfpage">
    <w:name w:val="nlm_fpage"/>
    <w:basedOn w:val="DefaultParagraphFont"/>
    <w:rsid w:val="007658C1"/>
  </w:style>
  <w:style w:type="character" w:customStyle="1" w:styleId="nlmlpage">
    <w:name w:val="nlm_lpage"/>
    <w:basedOn w:val="DefaultParagraphFont"/>
    <w:rsid w:val="00765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406">
      <w:bodyDiv w:val="1"/>
      <w:marLeft w:val="0"/>
      <w:marRight w:val="0"/>
      <w:marTop w:val="0"/>
      <w:marBottom w:val="0"/>
      <w:divBdr>
        <w:top w:val="none" w:sz="0" w:space="0" w:color="auto"/>
        <w:left w:val="none" w:sz="0" w:space="0" w:color="auto"/>
        <w:bottom w:val="none" w:sz="0" w:space="0" w:color="auto"/>
        <w:right w:val="none" w:sz="0" w:space="0" w:color="auto"/>
      </w:divBdr>
      <w:divsChild>
        <w:div w:id="805855158">
          <w:marLeft w:val="0"/>
          <w:marRight w:val="0"/>
          <w:marTop w:val="0"/>
          <w:marBottom w:val="0"/>
          <w:divBdr>
            <w:top w:val="none" w:sz="0" w:space="0" w:color="auto"/>
            <w:left w:val="none" w:sz="0" w:space="0" w:color="auto"/>
            <w:bottom w:val="none" w:sz="0" w:space="0" w:color="auto"/>
            <w:right w:val="none" w:sz="0" w:space="0" w:color="auto"/>
          </w:divBdr>
        </w:div>
        <w:div w:id="1752237490">
          <w:marLeft w:val="0"/>
          <w:marRight w:val="0"/>
          <w:marTop w:val="0"/>
          <w:marBottom w:val="0"/>
          <w:divBdr>
            <w:top w:val="none" w:sz="0" w:space="0" w:color="auto"/>
            <w:left w:val="none" w:sz="0" w:space="0" w:color="auto"/>
            <w:bottom w:val="none" w:sz="0" w:space="0" w:color="auto"/>
            <w:right w:val="none" w:sz="0" w:space="0" w:color="auto"/>
          </w:divBdr>
        </w:div>
        <w:div w:id="368146422">
          <w:marLeft w:val="0"/>
          <w:marRight w:val="0"/>
          <w:marTop w:val="0"/>
          <w:marBottom w:val="0"/>
          <w:divBdr>
            <w:top w:val="none" w:sz="0" w:space="0" w:color="auto"/>
            <w:left w:val="none" w:sz="0" w:space="0" w:color="auto"/>
            <w:bottom w:val="none" w:sz="0" w:space="0" w:color="auto"/>
            <w:right w:val="none" w:sz="0" w:space="0" w:color="auto"/>
          </w:divBdr>
        </w:div>
        <w:div w:id="10740897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7362</Words>
  <Characters>41965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cp:lastModifiedBy>April Peterson</cp:lastModifiedBy>
  <cp:revision>6</cp:revision>
  <dcterms:created xsi:type="dcterms:W3CDTF">2020-06-30T19:52:00Z</dcterms:created>
  <dcterms:modified xsi:type="dcterms:W3CDTF">2020-06-30T20:06:00Z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2020-06-22</vt:lpwstr>
  </property>
  <property fmtid="{D5CDD505-2E9C-101B-9397-08002B2CF9AE}" pid="6" name="output">
    <vt:lpwstr/>
  </property>
</Properties>
</file>