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77777777" w:rsidR="000636C4" w:rsidRPr="00C13C38" w:rsidRDefault="00C13C38">
      <w:pPr>
        <w:pBdr>
          <w:bottom w:val="single" w:sz="12" w:space="1" w:color="auto"/>
        </w:pBdr>
        <w:contextualSpacing/>
        <w:rPr>
          <w:b/>
        </w:rPr>
      </w:pPr>
      <w:r w:rsidRPr="00C13C38">
        <w:rPr>
          <w:b/>
        </w:rPr>
        <w:t>Results Outline.v1</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Estimates of gwRR from the house mouse species complex</w:t>
      </w:r>
    </w:p>
    <w:p w14:paraId="5C630671" w14:textId="77777777" w:rsidR="00454BB7" w:rsidRDefault="00454BB7">
      <w:pPr>
        <w:contextualSpacing/>
      </w:pPr>
    </w:p>
    <w:p w14:paraId="5DFB0101" w14:textId="6AC0FBC7" w:rsidR="00AB4E7B" w:rsidRDefault="00AC2C69">
      <w:pPr>
        <w:contextualSpacing/>
        <w:rPr>
          <w:highlight w:val="yellow"/>
        </w:rPr>
      </w:pPr>
      <w:r>
        <w:rPr>
          <w:highlight w:val="yellow"/>
        </w:rPr>
        <w:t>(T</w:t>
      </w:r>
      <w:r w:rsidR="00AB4E7B">
        <w:rPr>
          <w:highlight w:val="yellow"/>
        </w:rPr>
        <w:t xml:space="preserve">o estimate the gwRR for inbred house mouse strains, we calculated the average number of MLH1 foci per cell across </w:t>
      </w:r>
      <w:r w:rsidR="00624900">
        <w:rPr>
          <w:highlight w:val="yellow"/>
        </w:rPr>
        <w:t xml:space="preserve">Invidivual </w:t>
      </w:r>
      <w:r w:rsidR="00AB4E7B">
        <w:rPr>
          <w:highlight w:val="yellow"/>
        </w:rPr>
        <w:t>mice.</w:t>
      </w:r>
      <w:r w:rsidR="00624900">
        <w:rPr>
          <w:highlight w:val="yellow"/>
        </w:rPr>
        <w:t xml:space="preserve"> (the strain averages were calculated from the mouse averges).</w:t>
      </w:r>
      <w:r w:rsidR="00AB4E7B">
        <w:rPr>
          <w:highlight w:val="yellow"/>
        </w:rPr>
        <w:t xml:space="preserve"> </w:t>
      </w:r>
    </w:p>
    <w:p w14:paraId="0162690C" w14:textId="77777777" w:rsidR="00454BB7" w:rsidRDefault="00454BB7">
      <w:pPr>
        <w:contextualSpacing/>
      </w:pPr>
      <w:r w:rsidRPr="003F5378">
        <w:rPr>
          <w:highlight w:val="yellow"/>
        </w:rPr>
        <w:t>house mice we calculated the mean number of MLH1 foci per meiotic cell</w:t>
      </w:r>
      <w:r w:rsidR="00AC2C69">
        <w:rPr>
          <w:highlight w:val="yellow"/>
        </w:rPr>
        <w:t xml:space="preserve"> per mouse and averaged those per strain</w:t>
      </w:r>
      <w:r w:rsidRPr="003F5378">
        <w:rPr>
          <w:highlight w:val="yellow"/>
        </w:rPr>
        <w:t>)</w:t>
      </w:r>
    </w:p>
    <w:p w14:paraId="37649121" w14:textId="77777777" w:rsidR="00454BB7" w:rsidRDefault="00454BB7">
      <w:pPr>
        <w:contextualSpacing/>
      </w:pPr>
    </w:p>
    <w:p w14:paraId="2820796E" w14:textId="77777777" w:rsidR="002D40D1" w:rsidRDefault="001A3350">
      <w:pPr>
        <w:contextualSpacing/>
        <w:rPr>
          <w:u w:val="single"/>
        </w:rPr>
      </w:pPr>
      <w:r>
        <w:t>-</w:t>
      </w:r>
      <w:r w:rsidR="00402BCE">
        <w:t xml:space="preserve"> </w:t>
      </w:r>
      <w:r w:rsidR="00B671F8">
        <w:t>description of MLH1 dataset and measures of</w:t>
      </w:r>
      <w:r w:rsidR="00320C1C" w:rsidRPr="00454BB7">
        <w:rPr>
          <w:u w:val="single"/>
        </w:rPr>
        <w:t xml:space="preserve"> repeatability</w:t>
      </w:r>
    </w:p>
    <w:p w14:paraId="00DF391F" w14:textId="568D081A" w:rsidR="00AB4E7B" w:rsidRDefault="00AB4E7B">
      <w:pPr>
        <w:contextualSpacing/>
      </w:pPr>
      <w:r>
        <w:t>- male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r w:rsidRPr="009E7306">
        <w:t>table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7777777" w:rsidR="00AC2C69" w:rsidRDefault="00AC2C69">
      <w:pPr>
        <w:contextualSpacing/>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r w:rsidRPr="0077422F">
        <w:rPr>
          <w:highlight w:val="yellow"/>
        </w:rPr>
        <w:t>/(the variation across strains) with glms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r w:rsidR="008E2476">
        <w:t>for females, G, LEW, and MSM has significant strain effects</w:t>
      </w:r>
    </w:p>
    <w:p w14:paraId="2A09D8F1" w14:textId="19682566" w:rsidR="00A916AA" w:rsidRDefault="00402BCE" w:rsidP="001A3350">
      <w:pPr>
        <w:contextualSpacing/>
      </w:pPr>
      <w:r>
        <w:t>are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(interpretation)</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-3 High rec males in Musc and mol subsp</w:t>
      </w:r>
      <w:r w:rsidR="00624900">
        <w:rPr>
          <w:i/>
        </w:rPr>
        <w:t>ecies – rapid sexpsecific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(below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r w:rsidRPr="00A61776">
        <w:rPr>
          <w:highlight w:val="yellow"/>
        </w:rPr>
        <w:t>( in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 xml:space="preserve">(in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r w:rsidR="00A61776">
        <w:t xml:space="preserve"> )</w:t>
      </w:r>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r w:rsidRPr="00A61776">
        <w:rPr>
          <w:highlight w:val="yellow"/>
        </w:rPr>
        <w:t>(  in order to follow up with the mixed models – we used post hoc glms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-glm</w:t>
      </w:r>
      <w:r w:rsidR="00E465B6">
        <w:t>: The G strain effect is the largest effect for gwRR.  The sex*strain interaction effects for PWD</w:t>
      </w:r>
      <w:r w:rsidR="009112FD">
        <w:t xml:space="preserve"> and</w:t>
      </w:r>
      <w:r w:rsidR="00E465B6">
        <w:t xml:space="preserve"> MSM </w:t>
      </w:r>
      <w:r w:rsidR="000E009D">
        <w:t>are also significant. Additional</w:t>
      </w:r>
      <w:r w:rsidR="00E465B6">
        <w:t xml:space="preserve"> glm models show that PWD*male and MSM*male increase the gwRR and G*male decrease the gwRR</w:t>
      </w:r>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(ie.</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 xml:space="preserve">(in order to compare the within organism variance – we quantified the </w:t>
      </w:r>
      <w:r w:rsidRPr="00E91C4C">
        <w:rPr>
          <w:b/>
          <w:highlight w:val="yellow"/>
        </w:rPr>
        <w:t xml:space="preserve">mouse average </w:t>
      </w:r>
      <w:r w:rsidRPr="00E91C4C">
        <w:rPr>
          <w:highlight w:val="yellow"/>
        </w:rPr>
        <w:t>variance and coeffieient of variance (cV)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r w:rsidRPr="009833CE">
        <w:rPr>
          <w:highlight w:val="yellow"/>
        </w:rPr>
        <w:t xml:space="preserve">( in order to better understand the recombination pathway –  </w:t>
      </w:r>
      <w:r w:rsidR="0056777C" w:rsidRPr="009833CE">
        <w:rPr>
          <w:highlight w:val="yellow"/>
        </w:rPr>
        <w:t xml:space="preserve">/ </w:t>
      </w:r>
    </w:p>
    <w:p w14:paraId="331AC5A1" w14:textId="30BF539F" w:rsidR="003F3C71" w:rsidRDefault="003F3C71">
      <w:pPr>
        <w:contextualSpacing/>
      </w:pPr>
      <w:r w:rsidRPr="009833CE">
        <w:rPr>
          <w:highlight w:val="yellow"/>
        </w:rPr>
        <w:t xml:space="preserve">( in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t.test.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r w:rsidRPr="009F3599">
        <w:rPr>
          <w:highlight w:val="yellow"/>
        </w:rPr>
        <w:t>( in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(Stapley</w:t>
      </w:r>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w:t>
      </w:r>
      <w:r>
        <w:t xml:space="preserve">ecause there are hundreds of </w:t>
      </w:r>
      <w:r>
        <w:t>observations</w:t>
      </w:r>
      <w:r>
        <w:t xml:space="preserve"> per category</w:t>
      </w:r>
      <w:r>
        <w:t xml:space="preserve">, </w:t>
      </w:r>
      <w:r>
        <w:t>we assume that each of the 19 autosomes (</w:t>
      </w:r>
      <w:r>
        <w:t>chromosomes</w:t>
      </w:r>
      <w:r>
        <w:t xml:space="preserve">) is equally </w:t>
      </w:r>
      <w:r>
        <w:t>represented in the dataset of single bivalents.</w:t>
      </w:r>
    </w:p>
    <w:p w14:paraId="328C50B8" w14:textId="659049FA" w:rsidR="00D466E6" w:rsidRDefault="00D466E6">
      <w:pPr>
        <w:contextualSpacing/>
      </w:pPr>
    </w:p>
    <w:p w14:paraId="7EED2DF1" w14:textId="36F60BB4" w:rsidR="00D466E6" w:rsidRDefault="00D466E6">
      <w:pPr>
        <w:contextualSpacing/>
      </w:pPr>
      <w:r>
        <w:t>-we primarily use the mouse average of the choosen bivalent metric … because</w:t>
      </w:r>
      <w:bookmarkStart w:id="1" w:name="_GoBack"/>
      <w:bookmarkEnd w:id="1"/>
    </w:p>
    <w:p w14:paraId="2E5BAFF6" w14:textId="77777777" w:rsidR="00D466E6" w:rsidRDefault="00D466E6">
      <w:pPr>
        <w:contextualSpacing/>
      </w:pP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77777777" w:rsidR="00276E4C" w:rsidRPr="00276E4C" w:rsidRDefault="00276E4C" w:rsidP="00CB7B65">
      <w:pPr>
        <w:contextualSpacing/>
        <w:rPr>
          <w:b/>
        </w:rPr>
      </w:pPr>
      <w:r>
        <w:rPr>
          <w:b/>
        </w:rPr>
        <w:t>1. SC length (Chromatin Compaction Differences)</w:t>
      </w:r>
    </w:p>
    <w:p w14:paraId="0AA1FCE5" w14:textId="77777777"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14:paraId="036F8A01" w14:textId="77777777" w:rsidR="00125ADC" w:rsidRDefault="00125ADC" w:rsidP="00125ADC">
      <w:pPr>
        <w:contextualSpacing/>
      </w:pPr>
      <w:r>
        <w:t xml:space="preserve">-For almost all models, sex is the only significant effect for mouse averages of SC length. </w:t>
      </w:r>
    </w:p>
    <w:p w14:paraId="690DED4D" w14:textId="77777777" w:rsidR="00125ADC" w:rsidRPr="009A11A8" w:rsidRDefault="00125ADC" w:rsidP="00125ADC">
      <w:pPr>
        <w:contextualSpacing/>
      </w:pPr>
      <w:r>
        <w:t>The exception is in the Musc strains, where the SKIVE strain effect is also significant, because both male and female bivalents are shorter compared to PWD and KAZ.</w:t>
      </w:r>
    </w:p>
    <w:p w14:paraId="565591DE" w14:textId="77777777" w:rsidR="0021695A" w:rsidRDefault="0021695A" w:rsidP="006F5716">
      <w:r>
        <w:t>-Female SC are longer than male even despite the XX. i) all bivalents are longer within cells (there isn’t a single longer bivalent), ii) shortest bivalents within cells are also longer in females.</w:t>
      </w:r>
    </w:p>
    <w:p w14:paraId="2BC9C4E5" w14:textId="77777777" w:rsidR="00125ADC" w:rsidRPr="00276E4C" w:rsidRDefault="00276E4C" w:rsidP="00125ADC">
      <w:pPr>
        <w:contextualSpacing/>
        <w:rPr>
          <w:b/>
        </w:rPr>
      </w:pPr>
      <w:r w:rsidRPr="00276E4C">
        <w:rPr>
          <w:b/>
        </w:rPr>
        <w:t xml:space="preserve">2. </w:t>
      </w:r>
      <w:r>
        <w:rPr>
          <w:b/>
        </w:rPr>
        <w:t>Rec landscape differences</w:t>
      </w:r>
    </w:p>
    <w:p w14:paraId="76935776" w14:textId="77777777" w:rsidR="00276E4C" w:rsidRPr="00125ADC" w:rsidRDefault="00276E4C" w:rsidP="00125ADC">
      <w:pPr>
        <w:contextualSpacing/>
      </w:pPr>
      <w:r>
        <w:rPr>
          <w:b/>
        </w:rPr>
        <w:t>-</w:t>
      </w:r>
      <w:r w:rsidR="00125ADC" w:rsidRPr="00125ADC">
        <w:t>The sex effect i</w:t>
      </w:r>
      <w:r w:rsidR="00791156">
        <w:t>s highly significant for glms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Males have more telomeric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Hassold). </w:t>
      </w:r>
    </w:p>
    <w:p w14:paraId="39213EE7" w14:textId="77777777" w:rsidR="0021695A" w:rsidRDefault="009F58BE" w:rsidP="00CB7B65">
      <w:pPr>
        <w:contextualSpacing/>
      </w:pPr>
      <w:r>
        <w:lastRenderedPageBreak/>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General predictions based on the gwRR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II. Musc strains  (PWD &gt; SKIVE  &gt;  KAZ, CZECHII )</w:t>
      </w:r>
    </w:p>
    <w:p w14:paraId="63AED19F" w14:textId="77777777" w:rsidR="002410E7" w:rsidRDefault="00EA2ABD" w:rsidP="005114C1">
      <w:pPr>
        <w:ind w:firstLine="720"/>
        <w:contextualSpacing/>
      </w:pPr>
      <w:r>
        <w:t>III. Mol strains (MSM &gt; Mol)</w:t>
      </w:r>
    </w:p>
    <w:p w14:paraId="44ACBCEB" w14:textId="77777777" w:rsidR="00EA2ABD" w:rsidRDefault="002410E7" w:rsidP="005D4CE5">
      <w:pPr>
        <w:contextualSpacing/>
      </w:pPr>
      <w:r>
        <w:t xml:space="preserve">-glms </w:t>
      </w:r>
      <w:r w:rsidR="005114C1">
        <w:t xml:space="preserve">and logistic regression </w:t>
      </w:r>
      <w:r>
        <w:t>models</w:t>
      </w:r>
    </w:p>
    <w:p w14:paraId="31D85C63" w14:textId="77777777" w:rsidR="00EA2ABD" w:rsidRDefault="00EA2ABD" w:rsidP="005D4CE5">
      <w:pPr>
        <w:contextualSpacing/>
      </w:pPr>
    </w:p>
    <w:p w14:paraId="545D13B6" w14:textId="77777777" w:rsidR="00EA2ABD" w:rsidRDefault="00EA2ABD" w:rsidP="006C1F6D">
      <w:pPr>
        <w:contextualSpacing/>
        <w:rPr>
          <w:b/>
        </w:rPr>
      </w:pPr>
      <w:r>
        <w:rPr>
          <w:b/>
        </w:rPr>
        <w:t>High rec strains have longer SC lengths, bu</w:t>
      </w:r>
      <w:r w:rsidR="00790767">
        <w:rPr>
          <w:b/>
        </w:rPr>
        <w:t>t depends on how you measure it</w:t>
      </w:r>
    </w:p>
    <w:p w14:paraId="11CA0D7A" w14:textId="77777777" w:rsidR="00790767" w:rsidRDefault="00790767" w:rsidP="00790767">
      <w:pPr>
        <w:contextualSpacing/>
      </w:pPr>
      <w:r>
        <w:t>- All strains effects are significant</w:t>
      </w:r>
    </w:p>
    <w:p w14:paraId="0F73CB6D" w14:textId="77777777" w:rsidR="00790767" w:rsidRDefault="00790767" w:rsidP="00790767">
      <w:pPr>
        <w:contextualSpacing/>
      </w:pPr>
      <w:r>
        <w:t>-W</w:t>
      </w:r>
      <w:r w:rsidR="006C1F6D">
        <w:t>hen all chrm classes are pooled, the general pattern is that the higher rec strains h</w:t>
      </w:r>
      <w:r>
        <w:t>ave longer bivalent SC lengths (</w:t>
      </w:r>
      <w:r w:rsidR="008155C0">
        <w:t>except SKIVE</w:t>
      </w:r>
      <w:r>
        <w:t>).</w:t>
      </w:r>
    </w:p>
    <w:p w14:paraId="684FE0B9" w14:textId="77777777"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14:paraId="5B6D0806" w14:textId="77777777" w:rsidR="00790767" w:rsidRDefault="00790767" w:rsidP="00790767">
      <w:pPr>
        <w:contextualSpacing/>
        <w:rPr>
          <w:i/>
        </w:rPr>
      </w:pPr>
      <w:r>
        <w:rPr>
          <w:i/>
        </w:rPr>
        <w:t>-</w:t>
      </w:r>
      <w:r w:rsidR="003338AD">
        <w:rPr>
          <w:i/>
        </w:rPr>
        <w:t xml:space="preserve">Shaper clustering of SC lengths across </w:t>
      </w:r>
      <w:r>
        <w:rPr>
          <w:i/>
        </w:rPr>
        <w:t>chromosome classes in the high r</w:t>
      </w:r>
      <w:r w:rsidR="003338AD">
        <w:rPr>
          <w:i/>
        </w:rPr>
        <w:t>ec males</w:t>
      </w:r>
      <w:r>
        <w:rPr>
          <w:i/>
        </w:rPr>
        <w:t>. If the physical length is long enough, a bivalent will move from 1CO to 2CO class in the high rec males. Where as in the low rec males, long chrms are more likely to remain in the 1CO class.</w:t>
      </w: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Weak correlation with lower gwRR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1 pos</w:t>
      </w:r>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PWD, MSM, and SKIVE are significant strain effects in glm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Which glm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3F3C71"/>
    <w:rsid w:val="003F5378"/>
    <w:rsid w:val="00402BCE"/>
    <w:rsid w:val="00454BB7"/>
    <w:rsid w:val="00455426"/>
    <w:rsid w:val="004556D1"/>
    <w:rsid w:val="00482EA6"/>
    <w:rsid w:val="004D1825"/>
    <w:rsid w:val="005114C1"/>
    <w:rsid w:val="00533740"/>
    <w:rsid w:val="00543932"/>
    <w:rsid w:val="00550696"/>
    <w:rsid w:val="00554646"/>
    <w:rsid w:val="0056777C"/>
    <w:rsid w:val="00574D47"/>
    <w:rsid w:val="005C7009"/>
    <w:rsid w:val="005D4CE5"/>
    <w:rsid w:val="005E3F4D"/>
    <w:rsid w:val="00624900"/>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7422F"/>
    <w:rsid w:val="007826EB"/>
    <w:rsid w:val="00790767"/>
    <w:rsid w:val="00791156"/>
    <w:rsid w:val="007A70F8"/>
    <w:rsid w:val="007C19C7"/>
    <w:rsid w:val="007E6618"/>
    <w:rsid w:val="008155C0"/>
    <w:rsid w:val="008258A3"/>
    <w:rsid w:val="00832594"/>
    <w:rsid w:val="008C1F43"/>
    <w:rsid w:val="008E2476"/>
    <w:rsid w:val="00901CE0"/>
    <w:rsid w:val="009112FD"/>
    <w:rsid w:val="00936129"/>
    <w:rsid w:val="00952134"/>
    <w:rsid w:val="00957DB4"/>
    <w:rsid w:val="0096194A"/>
    <w:rsid w:val="009625A7"/>
    <w:rsid w:val="009833CE"/>
    <w:rsid w:val="00992385"/>
    <w:rsid w:val="009A11A8"/>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F1C75"/>
    <w:rsid w:val="00C13C38"/>
    <w:rsid w:val="00C5139C"/>
    <w:rsid w:val="00C56FC6"/>
    <w:rsid w:val="00C70EE2"/>
    <w:rsid w:val="00C71B58"/>
    <w:rsid w:val="00C92A69"/>
    <w:rsid w:val="00CB17CD"/>
    <w:rsid w:val="00CB6DA7"/>
    <w:rsid w:val="00CB7B65"/>
    <w:rsid w:val="00CF507D"/>
    <w:rsid w:val="00D11E3B"/>
    <w:rsid w:val="00D256EA"/>
    <w:rsid w:val="00D31D53"/>
    <w:rsid w:val="00D466E6"/>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B2B74"/>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4</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21</cp:revision>
  <cp:lastPrinted>2020-02-07T00:25:00Z</cp:lastPrinted>
  <dcterms:created xsi:type="dcterms:W3CDTF">2020-02-10T22:40:00Z</dcterms:created>
  <dcterms:modified xsi:type="dcterms:W3CDTF">2020-02-12T00:46:00Z</dcterms:modified>
</cp:coreProperties>
</file>