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iscussion-draft-v2"/>
      <w:r>
        <w:t xml:space="preserve">Discussion Draft v2</w:t>
      </w:r>
      <w:bookmarkEnd w:id="20"/>
    </w:p>
    <w:p>
      <w:pPr>
        <w:pStyle w:val="FirstParagraph"/>
      </w:pPr>
      <w:r>
        <w:t xml:space="preserve">Despite quantifying a similar number of wild derived inbred strains from</w:t>
      </w:r>
      <w:r>
        <w:t xml:space="preserve"> </w:t>
      </w:r>
      <w:r>
        <w:rPr>
          <w:i/>
        </w:rPr>
        <w:t xml:space="preserve">M. m. domesticus</w:t>
      </w:r>
      <w:r>
        <w:t xml:space="preserve"> </w:t>
      </w:r>
      <w:r>
        <w:t xml:space="preserve">and</w:t>
      </w:r>
      <w:r>
        <w:t xml:space="preserve"> </w:t>
      </w:r>
      <w:r>
        <w:rPr>
          <w:i/>
        </w:rPr>
        <w:t xml:space="preserve">M. m. musculus</w:t>
      </w:r>
      <w:r>
        <w:t xml:space="preserve">, we only observed rapid male specific evolution for the genome wide recombination rate for</w:t>
      </w:r>
      <w:r>
        <w:t xml:space="preserve"> </w:t>
      </w:r>
      <w:r>
        <w:rPr>
          <w:i/>
        </w:rPr>
        <w:t xml:space="preserve">M. m. musculus.</w:t>
      </w:r>
      <w:r>
        <w:t xml:space="preserve"> </w:t>
      </w:r>
      <w:r>
        <w:t xml:space="preserve">Estimates of effective population size for the three main subspecies of the house mouse found</w:t>
      </w:r>
      <w:r>
        <w:t xml:space="preserve"> </w:t>
      </w:r>
      <w:r>
        <w:rPr>
          <w:i/>
        </w:rPr>
        <w:t xml:space="preserve">M. m. musculus</w:t>
      </w:r>
      <w:r>
        <w:t xml:space="preserve"> </w:t>
      </w:r>
      <w:r>
        <w:t xml:space="preserve">had the lowest</w:t>
      </w:r>
      <w:r>
        <w:t xml:space="preserve"> </w:t>
      </w:r>
      <w:r>
        <w:t xml:space="preserve">(Geraldes et al. 2011)</w:t>
      </w:r>
      <w:r>
        <w:t xml:space="preserve">. Selection becomes less efficient at removing deleterious mutations in small populations outside of mutation-drift balance. In such populations, modifiers for increased recombination rates will be selected for as they increase the efficiency of selection.</w:t>
      </w:r>
    </w:p>
    <w:p>
      <w:pPr>
        <w:pStyle w:val="BodyText"/>
      </w:pPr>
      <w:r>
        <w: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(Caballero et al 2019, Schumer 2018). The three high-recombining strains identified in this study have connections to hybridization.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SKIVE</w:t>
      </w:r>
      <w:r>
        <w:t xml:space="preserve"> </w:t>
      </w:r>
      <w:r>
        <w:t xml:space="preserve">strains were established from samples from the european house mouse hybrid zone. Notably</w:t>
      </w:r>
      <w:r>
        <w:t xml:space="preserve"> </w:t>
      </w:r>
      <w:r>
        <w:rPr>
          <w:i/>
        </w:rPr>
        <w:t xml:space="preserve">musculus</w:t>
      </w:r>
      <w:r>
        <w:rPr>
          <w:vertAlign w:val="superscript"/>
          <w:i/>
        </w:rPr>
        <w:t xml:space="preserve">SKIVE</w:t>
      </w:r>
      <w:r>
        <w:t xml:space="preserve"> </w:t>
      </w:r>
      <w:r>
        <w:t xml:space="preserve">comes from a yonger section of the hybrid zone with a nuclear genome from</w:t>
      </w:r>
      <w:r>
        <w:t xml:space="preserve"> </w:t>
      </w:r>
      <w:r>
        <w:rPr>
          <w:i/>
        </w:rPr>
        <w:t xml:space="preserve">M. m. musculus</w:t>
      </w:r>
      <w:r>
        <w:t xml:space="preserve"> </w:t>
      </w:r>
      <w:r>
        <w:t xml:space="preserve">and a mitochondria genome from</w:t>
      </w:r>
      <w:r>
        <w:t xml:space="preserve"> </w:t>
      </w:r>
      <w:r>
        <w:rPr>
          <w:i/>
        </w:rPr>
        <w:t xml:space="preserve">M. m. domesticus</w:t>
      </w:r>
      <w:r>
        <w:t xml:space="preserve"> </w:t>
      </w:r>
      <w:r>
        <w:t xml:space="preserve">(Gyllensten and Wilson 1987)</w:t>
      </w:r>
      <w:r>
        <w:t xml:space="preserve">. The subspecies</w:t>
      </w:r>
      <w:r>
        <w:t xml:space="preserve"> </w:t>
      </w:r>
      <w:r>
        <w:rPr>
          <w:i/>
        </w:rPr>
        <w:t xml:space="preserve">M. m. molossinus</w:t>
      </w:r>
      <w:r>
        <w:t xml:space="preserve"> </w:t>
      </w:r>
      <w:r>
        <w:t xml:space="preserve">is a natural hybrid of</w:t>
      </w:r>
      <w:r>
        <w:t xml:space="preserve"> </w:t>
      </w:r>
      <w:r>
        <w:rPr>
          <w:i/>
        </w:rPr>
        <w:t xml:space="preserve">M. m. musculus</w:t>
      </w:r>
      <w:r>
        <w:t xml:space="preserve"> </w:t>
      </w:r>
      <w:r>
        <w:t xml:space="preserve">and</w:t>
      </w:r>
      <w:r>
        <w:t xml:space="preserve"> </w:t>
      </w:r>
      <w:r>
        <w:rPr>
          <w:i/>
        </w:rPr>
        <w:t xml:space="preserve">M. m. cataneus</w:t>
      </w:r>
      <w:r>
        <w:t xml:space="preserve"> </w:t>
      </w:r>
      <w:r>
        <w:t xml:space="preserve">(Geraldes et al 2008,</w:t>
      </w:r>
      <w:r>
        <w:t xml:space="preserve"> </w:t>
      </w:r>
      <w:r>
        <w:t xml:space="preserve">(Geraldes et al. 2011)</w:t>
      </w:r>
      <w:r>
        <w:t xml:space="preserve">). Models for the aggregate recombination metics, suggest that the location of recombination events and the total rate influence the dynamics of purging of deleterious introgress DNA (Veller et al 2019) – motivating increased study of recombination rates and natural populations.</w:t>
      </w:r>
      <w:r>
        <w:t xml:space="preserve"> </w:t>
      </w:r>
      <w:r>
        <w:t xml:space="preserve">4</w:t>
      </w:r>
      <w:r>
        <w:t xml:space="preserve"> </w:t>
      </w:r>
    </w:p>
    <w:p>
      <w:pPr>
        <w:pStyle w:val="BodyText"/>
      </w:pPr>
      <w:r>
        <w:t xml:space="preserve">To place our results in the broader context of recombination rate evolution we compare our main resuts to expectionat under three modifier models and two functional and cell physiology models (table X). While there are challenges to fitting models built under different assumptions, we feel it’s a useful exercise to highlight any unifying patterns for our specific traits across exsisting models. The three modifier models were built to explain variation in genome wide recombination rates between sexes (heterochiasmy), while the chromosome ocillatory movement (COM) model was built to describe positive interference. This spindle based selection model was developed to explain the results resented in this manuscript. In cases where the models can’t be extended to predicting results, we list a</w:t>
      </w:r>
      <w:r>
        <w:t xml:space="preserve"> </w:t>
      </w:r>
      <w:r>
        <w:t xml:space="preserve">‘</w:t>
      </w:r>
      <w:r>
        <w:t xml:space="preserve">NA</w:t>
      </w:r>
      <w:r>
        <w:t xml:space="preserve">’</w:t>
      </w:r>
      <w:r>
        <w:t xml:space="preserve"> </w:t>
      </w:r>
      <w:r>
        <w:t xml:space="preserve">for the prediction.</w:t>
      </w:r>
    </w:p>
    <w:p>
      <w:pPr>
        <w:pStyle w:val="Heading3"/>
      </w:pPr>
      <w:bookmarkStart w:id="21" w:name="X570497454a9653dcb4c1c50922092f4c4451fa1"/>
      <w:r>
        <w:t xml:space="preserve">Evolution of reversed heterochiasmy direction</w:t>
      </w:r>
      <w:bookmarkEnd w:id="21"/>
    </w:p>
    <w:p>
      <w:pPr>
        <w:pStyle w:val="FirstParagraph"/>
      </w:pPr>
      <w:r>
        <w:t xml:space="preserve">In our results and more generally in the literature, female biased heterochiasmy is the most common pattern, however male biased heterochiasmy is not especially rare</w:t>
      </w:r>
      <w:r>
        <w:t xml:space="preserve"> </w:t>
      </w:r>
      <w:r>
        <w:t xml:space="preserve">(Brandvain and Coop 2012)</w:t>
      </w:r>
      <w:r>
        <w:t xml:space="preserve">. Our results extend previous reports of male biased heterochiasmy</w:t>
      </w:r>
      <w:r>
        <w:t xml:space="preserve"> </w:t>
      </w:r>
      <w:r>
        <w:t xml:space="preserve">(Dumont and Payseur 2011)</w:t>
      </w:r>
      <w:r>
        <w:t xml:space="preserve"> </w:t>
      </w:r>
      <w:r>
        <w:t xml:space="preserve">to new subspecies of house mouse (</w:t>
      </w:r>
      <w:r>
        <w:rPr>
          <w:i/>
        </w:rPr>
        <w:t xml:space="preserve">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w:t>
      </w:r>
      <w:r>
        <w:t xml:space="preserve"> </w:t>
      </w:r>
      <w:r>
        <w:t xml:space="preserve">(Battagin et al. 2016)</w:t>
      </w:r>
      <w:r>
        <w:t xml:space="preserve">.</w:t>
      </w:r>
    </w:p>
    <w:p>
      <w:pPr>
        <w:pStyle w:val="BodyText"/>
      </w:pPr>
      <w:r>
        <w:t xml:space="preserve">Under the spindle based model, faster male evolution of the genome wide recombination rate, is primarily driven by a more efficient spindle assembly checkpoint (SAC) acting on chromosome structures at metaphase I alignment. &lt;We refer the reader to</w:t>
      </w:r>
      <w:r>
        <w:t xml:space="preserve"> </w:t>
      </w:r>
      <w:r>
        <w:t xml:space="preserve">(Lane and Kauppi 2019)</w:t>
      </w:r>
      <w:r>
        <w:t xml:space="preserve"> </w:t>
      </w:r>
      <w:r>
        <w:t xml:space="preserve">for more details on the SAC pathway.&gt; The SAC prevents anueploidy by ensuring all bivalents are correctly attached to the microtubulue spindle (bi-orientated) before starting the metaphase-to-anaphase transition</w:t>
      </w:r>
      <w:r>
        <w:t xml:space="preserve"> </w:t>
      </w:r>
      <w:r>
        <w:t xml:space="preserve">(Lane and Kauppi 2019, @subramanian2014, @dumontDesai2012)</w:t>
      </w:r>
      <w:r>
        <w:t xml:space="preserve">.</w:t>
      </w:r>
    </w:p>
    <w:p>
      <w:pPr>
        <w:pStyle w:val="BodyText"/>
      </w:pPr>
      <w:r>
        <w:t xml:space="preserve">A stable chromosome structure requires, i) kinetochores attached to opposite poles of the cells and ii) at least one crossover to create tension across a proportion of sister cohesion (</w:t>
      </w:r>
      <w:r>
        <w:t xml:space="preserve">(Lane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oogenesis</w:t>
      </w:r>
      <w:r>
        <w:t xml:space="preserve"> </w:t>
      </w:r>
      <w:r>
        <w:t xml:space="preserve">(Lane and Kauppi 2019, @subramanian2014)</w:t>
      </w:r>
      <w:r>
        <w:t xml:space="preserve">), which are connected to conserved features of gametogenesis; centrosome spindle (</w:t>
      </w:r>
      <w:r>
        <w:t xml:space="preserve">So et al. (2019)</w:t>
      </w:r>
      <w:r>
        <w:t xml:space="preserve">,</w:t>
      </w:r>
      <w:r>
        <w:t xml:space="preserve"> </w:t>
      </w:r>
      <w:r>
        <w:t xml:space="preserve">Dumont and Desai (2012)</w:t>
      </w:r>
      <w:r>
        <w:t xml:space="preserve">) and cell volume</w:t>
      </w:r>
      <w:r>
        <w:t xml:space="preserve"> </w:t>
      </w:r>
      <w:r>
        <w:t xml:space="preserve">(Kyogoku and Kitajima 2017)</w:t>
      </w:r>
      <w:r>
        <w:t xml:space="preserve">. The more stringent SAC in spermatogenesis will be more effective at removing genetic variants which interfere with bi-orientation compared to females. This dynamic can give rise to sex-specific genetic variants which in turn can result in context of meiosis between males and females as the primary source of distinct evolutionary trajectories in genome wide recombination rates.</w:t>
      </w:r>
    </w:p>
    <w:p>
      <w:pPr>
        <w:pStyle w:val="Heading3"/>
      </w:pPr>
      <w:bookmarkStart w:id="22" w:name="X080cdfbba7fccaec350341481d2d0d0334e0b9a"/>
      <w:r>
        <w:t xml:space="preserve">Conservation in sexual dimorphism in between cell variation in crossover number</w:t>
      </w:r>
      <w:bookmarkEnd w:id="22"/>
    </w:p>
    <w:p>
      <w:pPr>
        <w:pStyle w:val="FirstParagraph"/>
      </w:pPr>
      <w:r>
        <w:t xml:space="preserve">Regardless of whether these hypotheses are true, Our observations of between cell variation fail to support a basic prediction of (the relationship between mean and variance) a higher mean will be associated with a higher variance. Across all strains, including the high-recombining strains, musc</w:t>
      </w:r>
      <w:r>
        <w:rPr>
          <w:vertAlign w:val="superscript"/>
        </w:rPr>
        <w:t xml:space="preserve">PWD</w:t>
      </w:r>
      <w:r>
        <w:t xml:space="preserve">, musc</w:t>
      </w:r>
      <w:r>
        <w:rPr>
          <w:vertAlign w:val="superscript"/>
        </w:rPr>
        <w:t xml:space="preserve">SKIVE</w:t>
      </w:r>
      <w:r>
        <w:t xml:space="preserve"> </w:t>
      </w:r>
      <w:r>
        <w:t xml:space="preserve">and mol</w:t>
      </w:r>
      <w:r>
        <w:rPr>
          <w:vertAlign w:val="superscript"/>
        </w:rPr>
        <w:t xml:space="preserve">MSM</w:t>
      </w:r>
      <w:r>
        <w:t xml:space="preserve">, females consistently have higher between cell variance for crossover count. These results add to previous findings in mice and humans that oogenesis has increased variance for crossovers</w:t>
      </w:r>
      <w:r>
        <w:t xml:space="preserve"> </w:t>
      </w:r>
      <w:r>
        <w:t xml:space="preserve">(Lynn et al. 2002, @gruhn2013)</w:t>
      </w:r>
      <w:r>
        <w:t xml:space="preserve"> </w:t>
      </w:r>
      <w:r>
        <w:t xml:space="preserve">and precursors to crossovers</w:t>
      </w:r>
      <w:r>
        <w:t xml:space="preserve"> </w:t>
      </w:r>
      <w:r>
        <w:t xml:space="preserve">(Lenzi et al. 2005)</w:t>
      </w:r>
      <w:r>
        <w:t xml:space="preserve">?, compared to spermatocytes. This feature of heterochiasmy supports evolutionary theories predicting distinct reproductive strategies between females (diversifying offspring) and males (maintain successful haplotypes)</w:t>
      </w:r>
      <w:r>
        <w:t xml:space="preserve"> </w:t>
      </w:r>
      <w:r>
        <w:t xml:space="preserve">(Trivers and others 2002)</w:t>
      </w:r>
      <w:r>
        <w:t xml:space="preserve">.</w:t>
      </w:r>
    </w:p>
    <w:p>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w:t>
      </w:r>
      <w:r>
        <w:t xml:space="preserve"> </w:t>
      </w:r>
      <w:r>
        <w:t xml:space="preserve">(Schuh and Ellenberg 2007)</w:t>
      </w:r>
      <w:r>
        <w:t xml:space="preserve">. Centrosomes spindles are in spermatogensis and mature sperm cells delivers centrioles (most mammals) or centrosome material (rodents and rabbits) to the egg during fertilization (</w:t>
      </w:r>
      <w:r>
        <w:t xml:space="preserve">Manandhar, Schatten, and Sutovsky (2005)</w:t>
      </w:r>
      <w:r>
        <w:t xml:space="preserve">). This is another way the spindle based selection model is linked to conserved sex differences in gametogenesis</w:t>
      </w:r>
      <w:r>
        <w:t xml:space="preserve"> </w:t>
      </w:r>
      <w:r>
        <w:t xml:space="preserve">(Ross and Normark 2015)</w:t>
      </w:r>
      <w:r>
        <w:t xml:space="preserve">.</w:t>
      </w:r>
    </w:p>
    <w:p>
      <w:pPr>
        <w:pStyle w:val="BodyText"/>
      </w:pPr>
      <w:r>
        <w:t xml:space="preserve">Regardless of whether these hypotheses are true, our results further support the results of females having greater variation in the number of crossovers across cells in mice and humans</w:t>
      </w:r>
      <w:r>
        <w:t xml:space="preserve"> </w:t>
      </w:r>
      <w:r>
        <w:t xml:space="preserve">(Lynn et al. 2002, @gruhn2013)</w:t>
      </w:r>
      <w:r>
        <w:t xml:space="preserve">. This feature of heterochiasmy supports evolutionary theories predicting distinct reproductive strategies between females (diversifying offspring) and males (maintain successful haplotypes)</w:t>
      </w:r>
      <w:r>
        <w:t xml:space="preserve"> </w:t>
      </w:r>
      <w:r>
        <w:t xml:space="preserve">(Trivers and others 2002)</w:t>
      </w:r>
      <w:r>
        <w:t xml:space="preserve">.</w:t>
      </w:r>
    </w:p>
    <w:p>
      <w:pPr>
        <w:pStyle w:val="BodyText"/>
      </w:pPr>
      <w:r>
        <w:t xml:space="preserve">&lt;stabilization – bi-oriented, robust SAC response, SAC acts to correctly time metaphase to anaphase transition – only after correct alignment and bi-orientation of bivalents in the metaphase cell, – spindle dynamics much different due to asymmetrical division Mogessie et al 2018, Mogessie Schuh –actin and MT are apart of oocyte spindle&gt; &lt;Bennabi et al 2016 –spindle assembly in oocytes, sun and kim 2011 – SAC and regulators, Kolano et al 2012 –error prone oocytes, Manil-Segalen – forces through MT breaking chromosomes, Mogessie et al 2018 – meiotic spindle (big) review&gt;</w:t>
      </w:r>
    </w:p>
    <w:p>
      <w:pPr>
        <w:pStyle w:val="Heading3"/>
      </w:pPr>
      <w:bookmarkStart w:id="23" w:name="Xdd61133b515534f863ce1ae5a843c56ea3e6b78"/>
      <w:r>
        <w:t xml:space="preserve">Conservation in sex-specific recombination landscape</w:t>
      </w:r>
      <w:bookmarkEnd w:id="23"/>
    </w:p>
    <w:p>
      <w:pPr>
        <w:pStyle w:val="FirstParagraph"/>
      </w:pPr>
      <w:r>
        <w:t xml:space="preserve">Our results extend (the mountain / plethora) or previous data reports for broad scale sex difference in the recombination landscape</w:t>
      </w:r>
      <w:r>
        <w:t xml:space="preserve"> </w:t>
      </w:r>
      <w:r>
        <w:t xml:space="preserve">(Sardell and Kirkpatrick 2020)</w:t>
      </w:r>
      <w:r>
        <w:t xml:space="preserve"> </w:t>
      </w:r>
      <w:r>
        <w:t xml:space="preserve">- data comprised mostly of highly divergence species / large evolutionary distances. In contrast our results demonstrate that this pattern is maintained across much shorter evolutionary distances and even with rapid evolution in the genome-wide recombination rate. We argue that this conservation of the male chromosome end bias // recombination landscape is one of the most conserved features of heterochiasmy and could be connected to fundamental aspects of gametogenesis.</w:t>
      </w:r>
    </w:p>
    <w:p>
      <w:pPr>
        <w:pStyle w:val="BodyText"/>
      </w:pPr>
      <w:r>
        <w:t xml:space="preserve">As reviewed in</w:t>
      </w:r>
      <w:r>
        <w:t xml:space="preserve"> </w:t>
      </w:r>
      <w:r>
        <w:t xml:space="preserve">(Sardell and Kirkpatrick 2020)</w:t>
      </w:r>
      <w:r>
        <w:t xml:space="preserve">,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w:t>
      </w:r>
      <w:r>
        <w:t xml:space="preserve"> </w:t>
      </w:r>
      <w:r>
        <w:t xml:space="preserve">(Hultén 2011)</w:t>
      </w:r>
      <w:r>
        <w:t xml:space="preserve">.</w:t>
      </w:r>
    </w:p>
    <w:p>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w:t>
      </w:r>
      <w:r>
        <w:t xml:space="preserve"> </w:t>
      </w:r>
      <w:r>
        <w:t xml:space="preserve">(Lane and Kauppi 2019)</w:t>
      </w:r>
      <w:r>
        <w:t xml:space="preserve">, subramanian and Hochwagen ,</w:t>
      </w:r>
      <w:r>
        <w:t xml:space="preserve"> </w:t>
      </w:r>
      <w:r>
        <w:t xml:space="preserve">Dumont and Desai (2012)</w:t>
      </w:r>
      <w:r>
        <w:t xml:space="preserve">]. The number and placement of crossovers alter the distribution of sister cohesion and the resulting chromosome structure when bivalents are aligned and bi-oriented on the metaphase plate</w:t>
      </w:r>
      <w:r>
        <w:t xml:space="preserve"> </w:t>
      </w:r>
      <w:r>
        <w:t xml:space="preserve">(Veen and Hawley 2003, @altendorfer2020)</w:t>
      </w:r>
      <w:r>
        <w:t xml:space="preserve">.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espicially for those with dicyate arrest</w:t>
      </w:r>
      <w:r>
        <w:t xml:space="preserve"> </w:t>
      </w:r>
      <w:r>
        <w:t xml:space="preserve">(Lee 2019)</w:t>
      </w:r>
      <w:r>
        <w:t xml:space="preserve">.</w:t>
      </w:r>
    </w:p>
    <w:p>
      <w:pPr>
        <w:pStyle w:val="BodyText"/>
      </w:pPr>
      <w:r>
        <w:t xml:space="preserve">The higher levels /increased genetic diversity and recombination rates at chromosome ends</w:t>
      </w:r>
      <w:r>
        <w:t xml:space="preserve"> </w:t>
      </w:r>
      <w:r>
        <w:t xml:space="preserve">Haenel et al. (2018)</w:t>
      </w:r>
      <w:r>
        <w:t xml:space="preserve"> </w:t>
      </w:r>
      <w:r>
        <w:t xml:space="preserve">- suggests that this is driven by the male-specific recombination landscape</w:t>
      </w:r>
      <w:r>
        <w:t xml:space="preserve"> </w:t>
      </w:r>
      <w:r>
        <w:t xml:space="preserve">(Sardell and Kirkpatrick 2020)</w:t>
      </w:r>
      <w:r>
        <w:t xml:space="preserve">. (giving rise to interesting evolutionary predictions).</w:t>
      </w:r>
    </w:p>
    <w:p>
      <w:pPr>
        <w:pStyle w:val="Heading3"/>
      </w:pPr>
      <w:bookmarkStart w:id="24" w:name="X35f12ee51e3865d72ef96f0820fb1a0c9833ba1"/>
      <w:r>
        <w:t xml:space="preserve">Conservation of sex differences in chromatin structure</w:t>
      </w:r>
      <w:bookmarkEnd w:id="24"/>
    </w:p>
    <w:p>
      <w:pPr>
        <w:pStyle w:val="FirstParagraph"/>
      </w:pPr>
      <w:r>
        <w:t xml:space="preserve">Our results from musculus</w:t>
      </w:r>
      <w:r>
        <w:rPr>
          <w:vertAlign w:val="superscript"/>
        </w:rPr>
        <w:t xml:space="preserve">MSM</w:t>
      </w:r>
      <w:r>
        <w:t xml:space="preserve"> </w:t>
      </w:r>
      <w:r>
        <w:t xml:space="preserve">and musculus</w:t>
      </w:r>
      <w:r>
        <w:rPr>
          <w:vertAlign w:val="superscript"/>
        </w:rPr>
        <w:t xml:space="preserve">PWD</w:t>
      </w:r>
      <w:r>
        <w:t xml:space="preserve"> </w:t>
      </w:r>
      <w:r>
        <w:t xml:space="preserve">demonstrate that chromatin compaction are uncoupled from the direction of heterochiasmy in house mice. These results slightly depart from predictions which nominate chromatin compaction as the primary driver of recombination rate variation</w:t>
      </w:r>
      <w:r>
        <w:t xml:space="preserve"> </w:t>
      </w:r>
      <w:r>
        <w:t xml:space="preserve">(Petkov et al. 2007)</w:t>
      </w:r>
      <w:r>
        <w:t xml:space="preserve">. Chromatin compaction could explain variation in heterochiasmy, which is driven by the disinct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pPr>
        <w:pStyle w:val="BodyText"/>
      </w:pPr>
      <w:r>
        <w:t xml:space="preserve">Only the COM model predicts sexual dimorphism in chromatin structure and attributes the source to greater cell volume in oocytes. This prediction model might fit broader pattern such as in</w:t>
      </w:r>
      <w:r>
        <w:t xml:space="preserve"> </w:t>
      </w:r>
      <w:r>
        <w:rPr>
          <w:i/>
        </w:rPr>
        <w:t xml:space="preserve">Arabidopsis thalania</w:t>
      </w:r>
      <w:r>
        <w:t xml:space="preserve"> </w:t>
      </w:r>
      <w:r>
        <w:t xml:space="preserve">(Mercier paper? Sera?) where pollen is the larger cell and has longer axis length</w:t>
      </w:r>
      <w:r>
        <w:t xml:space="preserve"> </w:t>
      </w:r>
      <w:r>
        <w:t xml:space="preserve">(Cahoon and Libuda 2019)</w:t>
      </w:r>
      <w:r>
        <w:t xml:space="preserve">.</w:t>
      </w:r>
    </w:p>
    <w:p>
      <w:pPr>
        <w:pStyle w:val="BodyText"/>
      </w:pPr>
      <w:r>
        <w:t xml:space="preserve">As outlined in</w:t>
      </w:r>
      <w:r>
        <w:t xml:space="preserve"> </w:t>
      </w:r>
      <w:r>
        <w:t xml:space="preserve">Haenel et al. (2018)</w:t>
      </w:r>
      <w:r>
        <w:t xml:space="preserve">, sexual dimorphism in chromatin organization translates to interference strength measured in base pairs. From empirical data in mice</w:t>
      </w:r>
      <w:r>
        <w:t xml:space="preserve"> </w:t>
      </w:r>
      <w:r>
        <w:t xml:space="preserve">(Petkov et al. 2007, @lynn2002)</w:t>
      </w:r>
      <w:r>
        <w:t xml:space="preserve"> </w:t>
      </w:r>
      <w:r>
        <w:t xml:space="preserve">and humans</w:t>
      </w:r>
      <w:r>
        <w:t xml:space="preserve"> </w:t>
      </w:r>
      <w:r>
        <w:t xml:space="preserve">(Gruhn et al. 2013)</w:t>
      </w:r>
      <w:r>
        <w:t xml:space="preserve">, there seem to be to general configurations for chromatin structure: longer axis and shorter loops in females; shorter axis and longer loops in males. The signal for interference is thought to be mediated though the SC, which is built on top of the chromosome axis</w:t>
      </w:r>
      <w:r>
        <w:t xml:space="preserve"> </w:t>
      </w:r>
      <w:r>
        <w:t xml:space="preserve">(Zickler and Kleckner 2015)</w:t>
      </w:r>
      <w:r>
        <w:t xml:space="preserve"> </w:t>
      </w:r>
      <w:r>
        <w:t xml:space="preserve">regardless of the loop size. Supporting this is the observation that interference strength measured in micrometers of is conserved between sexes</w:t>
      </w:r>
      <w:r>
        <w:t xml:space="preserve"> </w:t>
      </w:r>
      <w:r>
        <w:t xml:space="preserve">(Petkov et al. 2007)</w:t>
      </w:r>
      <w:r>
        <w:t xml:space="preserve">.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pPr>
        <w:pStyle w:val="BodyText"/>
      </w:pPr>
      <w:r>
        <w:t xml:space="preserve">&lt;The results of sexual dimorphism in chromatin structure is supported by the literature, especially for mammals</w:t>
      </w:r>
      <w:r>
        <w:t xml:space="preserve"> </w:t>
      </w:r>
      <w:r>
        <w:t xml:space="preserve">(Lynn et al. 2002, @gruhn2013)</w:t>
      </w:r>
      <w:r>
        <w:t xml:space="preserve">, But there’s generally a lack of data for other systems see</w:t>
      </w:r>
      <w:r>
        <w:t xml:space="preserve"> </w:t>
      </w:r>
      <w:r>
        <w:t xml:space="preserve">(Cahoon and Libuda 2019)</w:t>
      </w:r>
      <w:r>
        <w:t xml:space="preserve">&gt;</w:t>
      </w:r>
    </w:p>
    <w:p>
      <w:pPr>
        <w:pStyle w:val="Heading3"/>
      </w:pPr>
      <w:bookmarkStart w:id="25" w:name="X51863f9a9e4b6a010eecfad0ed4f9430ba92971"/>
      <w:r>
        <w:t xml:space="preserve">Evolution of interference strength in males</w:t>
      </w:r>
      <w:bookmarkEnd w:id="25"/>
    </w:p>
    <w:p>
      <w:pPr>
        <w:pStyle w:val="FirstParagraph"/>
      </w:pPr>
      <w:r>
        <w:t xml:space="preserve">An expected consequence of our observed elevated genome-wide recombination rate is lower LD across the genome, which may increase the efficiency of selection and impact the dynamics of introgression (cite, Schumer). Given that the higher genome-wide recombination rates are paired with stronger interference these predicted pattern may have heterogeneous signal along chromosomes.</w:t>
      </w:r>
      <w:r>
        <w:t xml:space="preserve"> </w:t>
      </w:r>
      <w:r>
        <w:rPr>
          <w:b/>
        </w:rPr>
        <w:t xml:space="preserve">(new, veller paper – in addition to the total gwRR, the location of crossovers (rbar), should be considered in this dynamic)</w:t>
      </w:r>
    </w:p>
    <w:p>
      <w:pPr>
        <w:pStyle w:val="BodyText"/>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w:t>
      </w:r>
      <w:r>
        <w:t xml:space="preserve"> </w:t>
      </w:r>
      <w:r>
        <w:t xml:space="preserve">(Otto and Payseur 2019)</w:t>
      </w:r>
      <w:r>
        <w:t xml:space="preserve">. This fits the logic of the chromosome axis acting as the</w:t>
      </w:r>
      <w:r>
        <w:t xml:space="preserve"> </w:t>
      </w:r>
      <w:r>
        <w:t xml:space="preserve">‘</w:t>
      </w:r>
      <w:r>
        <w:t xml:space="preserve">real estate</w:t>
      </w:r>
      <w:r>
        <w:t xml:space="preserve">’</w:t>
      </w:r>
      <w:r>
        <w:t xml:space="preserve"> </w:t>
      </w:r>
      <w:r>
        <w:t xml:space="preserve">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w:t>
      </w:r>
      <w:r>
        <w:t xml:space="preserve"> </w:t>
      </w:r>
      <w:r>
        <w:rPr>
          <w:i/>
        </w:rPr>
        <w:t xml:space="preserve">Peromyscus leucopus</w:t>
      </w:r>
      <w:r>
        <w:t xml:space="preserve"> </w:t>
      </w:r>
      <w:r>
        <w:t xml:space="preserve">from</w:t>
      </w:r>
      <w:r>
        <w:t xml:space="preserve"> </w:t>
      </w:r>
      <w:r>
        <w:t xml:space="preserve">(Peterson, Miller, and Payseur 2019)</w:t>
      </w:r>
      <w:r>
        <w:t xml:space="preserve"> </w:t>
      </w:r>
      <w:r>
        <w:t xml:space="preserve">or large effects on genome wide recombination rates across a short evolutionary differences; the within-sex comparison of two breeds of cattle with different genome wide recombination rates</w:t>
      </w:r>
      <w:r>
        <w:t xml:space="preserve"> </w:t>
      </w:r>
      <w:r>
        <w:t xml:space="preserve">(Ma et al. 2015)</w:t>
      </w:r>
      <w:r>
        <w:t xml:space="preserve">.</w:t>
      </w:r>
    </w:p>
    <w:p>
      <w:pPr>
        <w:pStyle w:val="BodyText"/>
      </w:pPr>
      <w:r>
        <w:t xml:space="preserve">We propose that the spindle based selection model can explain the positive correlation via selection on the amount of sister cohesion connecting homologs at metaphse. The evolution of genome wide recombination rates in our study is driven by a transition of the majority of</w:t>
      </w:r>
      <w:r>
        <w:t xml:space="preserve"> </w:t>
      </w:r>
      <w:r>
        <w:t xml:space="preserve">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pPr>
        <w:pStyle w:val="BodyText"/>
      </w:pPr>
      <w:r>
        <w:t xml:space="preserve">The COM model predicts that interference and the recombination landscape arises from known oscillatory movements during prophase</w:t>
      </w:r>
      <w:r>
        <w:t xml:space="preserve"> </w:t>
      </w:r>
      <w:r>
        <w:t xml:space="preserve">(Rubin, Macaisne, and Huynh 2020)</w:t>
      </w:r>
      <w:r>
        <w:t xml:space="preserve">,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pPr>
        <w:pStyle w:val="BodyText"/>
      </w:pPr>
      <w:r>
        <w:t xml:space="preserve">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w:t>
      </w:r>
      <w:r>
        <w:t xml:space="preserve"> </w:t>
      </w:r>
      <w:r>
        <w:t xml:space="preserve">Goldstein, Bergman, and Feldman (1993)</w:t>
      </w:r>
      <w:r>
        <w:t xml:space="preserve">, reviewed in</w:t>
      </w:r>
      <w:r>
        <w:t xml:space="preserve"> </w:t>
      </w:r>
      <w:r>
        <w:t xml:space="preserve">(Otto and Payseur 2019)</w:t>
      </w:r>
      <w:r>
        <w:t xml:space="preserve"> </w:t>
      </w:r>
      <w:r>
        <w:t xml:space="preserve">and</w:t>
      </w:r>
      <w:r>
        <w:t xml:space="preserve"> </w:t>
      </w:r>
      <w:r>
        <w:t xml:space="preserve">Veller, Kleckner, and Nowak (2019)</w:t>
      </w:r>
      <w:r>
        <w:t xml:space="preserve">,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w:t>
      </w:r>
      <w:r>
        <w:t xml:space="preserve"> </w:t>
      </w:r>
      <w:r>
        <w:t xml:space="preserve">Empirically, the range of crossovers per chromosome is quite limited, 1-3, for the majority of chromosomes across most taxa</w:t>
      </w:r>
      <w:r>
        <w:t xml:space="preserve"> </w:t>
      </w:r>
      <w:r>
        <w:t xml:space="preserve">(Otto and Payseur 2019, @stapley_variation_2017)</w:t>
      </w:r>
      <w:r>
        <w:t xml:space="preserve">. Constraining the number of crossovers per chromosome in models may fit empirical data better than those where recombination rate across an abstracted genetic space is unconstrained.</w:t>
      </w:r>
    </w:p>
    <w:p>
      <w:pPr>
        <w:pStyle w:val="Heading3"/>
      </w:pPr>
      <w:bookmarkStart w:id="26" w:name="future-steps"/>
      <w:r>
        <w:t xml:space="preserve">Future steps</w:t>
      </w:r>
      <w:bookmarkEnd w:id="26"/>
    </w:p>
    <w:p>
      <w:pPr>
        <w:pStyle w:val="FirstParagraph"/>
      </w:pPr>
      <w:r>
        <w:t xml:space="preserve">There are still many un-known aspects regarding heterochiasmy (Lenormand) , these novel results suggest - we hope ppl we follow up . (fitness - evolutionary dynamics - role in linked selection)</w:t>
      </w:r>
    </w:p>
    <w:p>
      <w:pPr>
        <w:pStyle w:val="BodyText"/>
      </w:pPr>
      <w:r>
        <w:t xml:space="preserve">We make three suggestions for future steps in studying recombination variation. First consider the when comparing sex specific meiotic traits consider that evolutionary distinct trajectories due to the fundamental differences in gametogenesis.</w:t>
      </w:r>
    </w:p>
    <w:p>
      <w:pPr>
        <w:pStyle w:val="BodyText"/>
      </w:pPr>
      <w:r>
        <w:t xml:space="preserve">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pPr>
        <w:pStyle w:val="BodyText"/>
      </w:pPr>
      <w:r>
        <w:t xml:space="preserve">Third we encourage the cross-pollination of physiology based models and more abstract model such as population genetic models with testable hypotheses</w:t>
      </w:r>
      <w:r>
        <w:t xml:space="preserve"> </w:t>
      </w:r>
      <w:r>
        <w:t xml:space="preserve">Dapper and Payseur (2017)</w:t>
      </w:r>
      <w:r>
        <w:t xml:space="preserve">. A goal of such merging of models could be to connect empirical findings across scales.</w:t>
      </w:r>
    </w:p>
    <w:p>
      <w:pPr>
        <w:pStyle w:val="Heading1"/>
      </w:pPr>
      <w:bookmarkStart w:id="27" w:name="references"/>
      <w:r>
        <w:t xml:space="preserve">References</w:t>
      </w:r>
      <w:bookmarkEnd w:id="27"/>
    </w:p>
    <w:bookmarkStart w:id="64" w:name="refs"/>
    <w:bookmarkStart w:id="28" w:name="ref-altendorfer2020"/>
    <w:p>
      <w:pPr>
        <w:pStyle w:val="Bibliography"/>
      </w:pPr>
      <w:r>
        <w:t xml:space="preserve">Altendorfer, Elisabeth, Laura I Láscarez-Lagunas, Saravanapriah Nadarajan, Iain Mathieson, and Monica P Colaiácovo. 2020. “Crossover Position Drives Chromosome Remodeling for Accurate Meiotic Chromosome Segregation.”</w:t>
      </w:r>
      <w:r>
        <w:t xml:space="preserve"> </w:t>
      </w:r>
      <w:r>
        <w:rPr>
          <w:i/>
        </w:rPr>
        <w:t xml:space="preserve">Current Biology</w:t>
      </w:r>
      <w:r>
        <w:t xml:space="preserve">.</w:t>
      </w:r>
    </w:p>
    <w:bookmarkEnd w:id="28"/>
    <w:bookmarkStart w:id="29" w:name="ref-battagin2016"/>
    <w:p>
      <w:pPr>
        <w:pStyle w:val="Bibliography"/>
      </w:pPr>
      <w:r>
        <w:t xml:space="preserve">Battagin, Mara, Gregor Gorjanc, Anne-Michelle Faux, Susan E Johnston, and John M Hickey. 2016. “Effect of Manipulating Recombination Rates on Response to Selection in Livestock Breeding Programs.”</w:t>
      </w:r>
      <w:r>
        <w:t xml:space="preserve"> </w:t>
      </w:r>
      <w:r>
        <w:rPr>
          <w:i/>
        </w:rPr>
        <w:t xml:space="preserve">Genetics Selection Evolution</w:t>
      </w:r>
      <w:r>
        <w:t xml:space="preserve"> </w:t>
      </w:r>
      <w:r>
        <w:t xml:space="preserve">48 (1): 44.</w:t>
      </w:r>
    </w:p>
    <w:bookmarkEnd w:id="29"/>
    <w:bookmarkStart w:id="30"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30"/>
    <w:bookmarkStart w:id="31" w:name="ref-cahoonLibuda2019"/>
    <w:p>
      <w:pPr>
        <w:pStyle w:val="Bibliography"/>
      </w:pPr>
      <w:r>
        <w:t xml:space="preserve">Cahoon, Cori K, and Diana E Libuda. 2019. “Leagues of Their Own: Sexually Dimorphic Features of Meiotic Prophase I.”</w:t>
      </w:r>
      <w:r>
        <w:t xml:space="preserve"> </w:t>
      </w:r>
      <w:r>
        <w:rPr>
          <w:i/>
        </w:rPr>
        <w:t xml:space="preserve">Chromosoma</w:t>
      </w:r>
      <w:r>
        <w:t xml:space="preserve">, 1–16.</w:t>
      </w:r>
    </w:p>
    <w:bookmarkEnd w:id="31"/>
    <w:bookmarkStart w:id="32"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32"/>
    <w:bookmarkStart w:id="33"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33"/>
    <w:bookmarkStart w:id="34"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34"/>
    <w:bookmarkStart w:id="35" w:name="ref-geraldes2011"/>
    <w:p>
      <w:pPr>
        <w:pStyle w:val="Bibliography"/>
      </w:pPr>
      <w:r>
        <w:t xml:space="preserve">Geraldes, Armando, Patrick Basset, Kimberley L Smith, and Michael W Nachman. 2011. “Higher Differentiation Among Subspecies of the House Mouse (Mus Musculus) in Genomic Regions with Low Recombination.”</w:t>
      </w:r>
      <w:r>
        <w:t xml:space="preserve"> </w:t>
      </w:r>
      <w:r>
        <w:rPr>
          <w:i/>
        </w:rPr>
        <w:t xml:space="preserve">Molecular Ecology</w:t>
      </w:r>
      <w:r>
        <w:t xml:space="preserve"> </w:t>
      </w:r>
      <w:r>
        <w:t xml:space="preserve">20 (22): 4722–36.</w:t>
      </w:r>
    </w:p>
    <w:bookmarkEnd w:id="35"/>
    <w:bookmarkStart w:id="36"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36"/>
    <w:bookmarkStart w:id="37"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37"/>
    <w:bookmarkStart w:id="38" w:name="ref-gyllensten1987_SKIVE"/>
    <w:p>
      <w:pPr>
        <w:pStyle w:val="Bibliography"/>
      </w:pPr>
      <w:r>
        <w:t xml:space="preserve">Gyllensten, Ulf, and Allan C Wilson. 1987. “Interspecific Mitochondrial Dna Transfer and the Colonization of Scandinavia by Mice.”</w:t>
      </w:r>
      <w:r>
        <w:t xml:space="preserve"> </w:t>
      </w:r>
      <w:r>
        <w:rPr>
          <w:i/>
        </w:rPr>
        <w:t xml:space="preserve">Genetics Research</w:t>
      </w:r>
      <w:r>
        <w:t xml:space="preserve"> </w:t>
      </w:r>
      <w:r>
        <w:t xml:space="preserve">49 (1): 25–29.</w:t>
      </w:r>
    </w:p>
    <w:bookmarkEnd w:id="38"/>
    <w:bookmarkStart w:id="39" w:name="ref-haenel2018"/>
    <w:p>
      <w:pPr>
        <w:pStyle w:val="Bibliography"/>
      </w:pPr>
      <w:r>
        <w:t xml:space="preserve">Haenel, Quiterie, Telma G Laurentino, Marius Roesti, and Daniel Berner. 2018. “Meta-Analysis of Chromosome-Scale Crossover Rate Variation in Eukaryotes and Its Significance to Evolutionary Genomics.”</w:t>
      </w:r>
      <w:r>
        <w:t xml:space="preserve"> </w:t>
      </w:r>
      <w:r>
        <w:rPr>
          <w:i/>
        </w:rPr>
        <w:t xml:space="preserve">Molecular Ecology</w:t>
      </w:r>
      <w:r>
        <w:t xml:space="preserve"> </w:t>
      </w:r>
      <w:r>
        <w:t xml:space="preserve">27 (11): 2477–97.</w:t>
      </w:r>
    </w:p>
    <w:bookmarkEnd w:id="39"/>
    <w:bookmarkStart w:id="40"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40"/>
    <w:bookmarkStart w:id="41"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41"/>
    <w:bookmarkStart w:id="42"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42"/>
    <w:bookmarkStart w:id="43"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43"/>
    <w:bookmarkStart w:id="44" w:name="ref-lenzi2005"/>
    <w:p>
      <w:pPr>
        <w:pStyle w:val="Bibliography"/>
      </w:pPr>
      <w:r>
        <w:t xml:space="preserve">Lenzi, Michelle L, Jenetta Smith, Timothy Snowden, Mimi Kim, Richard Fishel, Bradford K Poulos, and Paula E Cohen. 2005. “Extreme Heterogeneity in the Molecular Events Leading to the Establishment of Chiasmata During Meiosis I in Human Oocytes.”</w:t>
      </w:r>
      <w:r>
        <w:t xml:space="preserve"> </w:t>
      </w:r>
      <w:r>
        <w:rPr>
          <w:i/>
        </w:rPr>
        <w:t xml:space="preserve">The American Journal of Human Genetics</w:t>
      </w:r>
      <w:r>
        <w:t xml:space="preserve"> </w:t>
      </w:r>
      <w:r>
        <w:t xml:space="preserve">76 (1): 112–27.</w:t>
      </w:r>
    </w:p>
    <w:bookmarkEnd w:id="44"/>
    <w:bookmarkStart w:id="45"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45"/>
    <w:bookmarkStart w:id="46"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46"/>
    <w:bookmarkStart w:id="47" w:name="ref-manandhar2005centrosome"/>
    <w:p>
      <w:pPr>
        <w:pStyle w:val="Bibliography"/>
      </w:pPr>
      <w:r>
        <w:t xml:space="preserve">Manandhar, Gaurishankar, Heide Schatten, and Peter Sutovsky. 2005. “Centrosome Reduction During Gametogenesis and Its Significance.”</w:t>
      </w:r>
      <w:r>
        <w:t xml:space="preserve"> </w:t>
      </w:r>
      <w:r>
        <w:rPr>
          <w:i/>
        </w:rPr>
        <w:t xml:space="preserve">Biology of Reproduction</w:t>
      </w:r>
      <w:r>
        <w:t xml:space="preserve"> </w:t>
      </w:r>
      <w:r>
        <w:t xml:space="preserve">72 (1): 2–13.</w:t>
      </w:r>
    </w:p>
    <w:bookmarkEnd w:id="47"/>
    <w:bookmarkStart w:id="48"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48"/>
    <w:bookmarkStart w:id="49"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49"/>
    <w:bookmarkStart w:id="50"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50"/>
    <w:bookmarkStart w:id="51" w:name="ref-ross2015"/>
    <w:p>
      <w:pPr>
        <w:pStyle w:val="Bibliography"/>
      </w:pPr>
      <w:r>
        <w:t xml:space="preserve">Ross, L, and BB Normark. 2015. “Evolutionary Problems in Centrosome and Centriole Biology.”</w:t>
      </w:r>
      <w:r>
        <w:t xml:space="preserve"> </w:t>
      </w:r>
      <w:r>
        <w:rPr>
          <w:i/>
        </w:rPr>
        <w:t xml:space="preserve">Journal of Evolutionary Biology</w:t>
      </w:r>
      <w:r>
        <w:t xml:space="preserve"> </w:t>
      </w:r>
      <w:r>
        <w:t xml:space="preserve">28 (5): 995–1004.</w:t>
      </w:r>
    </w:p>
    <w:bookmarkEnd w:id="51"/>
    <w:bookmarkStart w:id="52" w:name="ref-rubin2020mixing"/>
    <w:p>
      <w:pPr>
        <w:pStyle w:val="Bibliography"/>
      </w:pPr>
      <w:r>
        <w:t xml:space="preserve">Rubin, Thomas, Nicolas Macaisne, and Jean-René Huynh. 2020. “Mixing and Matching Chromosomes During Female Meiosis.”</w:t>
      </w:r>
      <w:r>
        <w:t xml:space="preserve"> </w:t>
      </w:r>
      <w:r>
        <w:rPr>
          <w:i/>
        </w:rPr>
        <w:t xml:space="preserve">Cells</w:t>
      </w:r>
      <w:r>
        <w:t xml:space="preserve"> </w:t>
      </w:r>
      <w:r>
        <w:t xml:space="preserve">9 (3): 696.</w:t>
      </w:r>
    </w:p>
    <w:bookmarkEnd w:id="52"/>
    <w:bookmarkStart w:id="54"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53">
        <w:r>
          <w:rPr>
            <w:rStyle w:val="Hyperlink"/>
          </w:rPr>
          <w:t xml:space="preserve">https://doi.org/10.1086/704943</w:t>
        </w:r>
      </w:hyperlink>
      <w:r>
        <w:t xml:space="preserve">.</w:t>
      </w:r>
    </w:p>
    <w:bookmarkEnd w:id="54"/>
    <w:bookmarkStart w:id="55" w:name="ref-schuh2007"/>
    <w:p>
      <w:pPr>
        <w:pStyle w:val="Bibliography"/>
      </w:pPr>
      <w:r>
        <w:t xml:space="preserve">Schuh, Melina, and Jan Ellenberg. 2007. “Self-Organization of Mtocs Replaces Centrosome Function During Acentrosomal Spindle Assembly in Live Mouse Oocytes.”</w:t>
      </w:r>
      <w:r>
        <w:t xml:space="preserve"> </w:t>
      </w:r>
      <w:r>
        <w:rPr>
          <w:i/>
        </w:rPr>
        <w:t xml:space="preserve">Cell</w:t>
      </w:r>
      <w:r>
        <w:t xml:space="preserve"> </w:t>
      </w:r>
      <w:r>
        <w:t xml:space="preserve">130 (3): 484–98.</w:t>
      </w:r>
    </w:p>
    <w:bookmarkEnd w:id="55"/>
    <w:bookmarkStart w:id="56"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56"/>
    <w:bookmarkStart w:id="58" w:name="ref-stapley_variation_2017"/>
    <w:p>
      <w:pPr>
        <w:pStyle w:val="Bibliography"/>
      </w:pPr>
      <w:r>
        <w:t xml:space="preserve">Stapley, Jessica, Philine G. D. Feulner, Susan E. Johnston, Anna W. Santure, and Carole M. Smadja. 2017. “Variation in Recombination Frequency and Distribution Across Eukaryotes: Patterns and Processes.”</w:t>
      </w:r>
      <w:r>
        <w:t xml:space="preserve"> </w:t>
      </w:r>
      <w:r>
        <w:rPr>
          <w:i/>
        </w:rPr>
        <w:t xml:space="preserve">Philosophical Transactions of the Royal Society B: Biological Sciences</w:t>
      </w:r>
      <w:r>
        <w:t xml:space="preserve"> </w:t>
      </w:r>
      <w:r>
        <w:t xml:space="preserve">372 (1736): 20160455.</w:t>
      </w:r>
      <w:r>
        <w:t xml:space="preserve"> </w:t>
      </w:r>
      <w:hyperlink r:id="rId57">
        <w:r>
          <w:rPr>
            <w:rStyle w:val="Hyperlink"/>
          </w:rPr>
          <w:t xml:space="preserve">https://doi.org/10.1098/rstb.2016.0455</w:t>
        </w:r>
      </w:hyperlink>
      <w:r>
        <w:t xml:space="preserve">.</w:t>
      </w:r>
    </w:p>
    <w:bookmarkEnd w:id="58"/>
    <w:bookmarkStart w:id="59"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59"/>
    <w:bookmarkStart w:id="60" w:name="ref-trivers2002"/>
    <w:p>
      <w:pPr>
        <w:pStyle w:val="Bibliography"/>
      </w:pPr>
      <w:r>
        <w:t xml:space="preserve">Trivers, Robert, and others. 2002.</w:t>
      </w:r>
      <w:r>
        <w:t xml:space="preserve"> </w:t>
      </w:r>
      <w:r>
        <w:rPr>
          <w:i/>
        </w:rPr>
        <w:t xml:space="preserve">Natural Selection and Social Theory: Selected Papers of Robert Trivers</w:t>
      </w:r>
      <w:r>
        <w:t xml:space="preserve">. Oxford University Press, USA.</w:t>
      </w:r>
    </w:p>
    <w:bookmarkEnd w:id="60"/>
    <w:bookmarkStart w:id="61" w:name="ref-vanVeen2003"/>
    <w:p>
      <w:pPr>
        <w:pStyle w:val="Bibliography"/>
      </w:pPr>
      <w:r>
        <w:t xml:space="preserve">Veen, J Edward van, and R Scott Hawley. 2003. “Meiosis: When Even Two Is a Crowd.”</w:t>
      </w:r>
      <w:r>
        <w:t xml:space="preserve"> </w:t>
      </w:r>
      <w:r>
        <w:rPr>
          <w:i/>
        </w:rPr>
        <w:t xml:space="preserve">Current Biology</w:t>
      </w:r>
      <w:r>
        <w:t xml:space="preserve"> </w:t>
      </w:r>
      <w:r>
        <w:t xml:space="preserve">13 (21): R831–R833.</w:t>
      </w:r>
    </w:p>
    <w:bookmarkEnd w:id="61"/>
    <w:bookmarkStart w:id="62" w:name="ref-veller2019shuffle"/>
    <w:p>
      <w:pPr>
        <w:pStyle w:val="Bibliography"/>
      </w:pPr>
      <w:r>
        <w:t xml:space="preserve">Veller, Carl, Nancy Kleckner, and Martin A Nowak. 2019. “A Rigorous Measure of Genome-Wide Genetic Shuffling That Takes into Account Crossover Positions and Mendel’s Second Law.”</w:t>
      </w:r>
      <w:r>
        <w:t xml:space="preserve"> </w:t>
      </w:r>
      <w:r>
        <w:rPr>
          <w:i/>
        </w:rPr>
        <w:t xml:space="preserve">Proceedings of the National Academy of Sciences</w:t>
      </w:r>
      <w:r>
        <w:t xml:space="preserve"> </w:t>
      </w:r>
      <w:r>
        <w:t xml:space="preserve">116 (5): 1659–68.</w:t>
      </w:r>
    </w:p>
    <w:bookmarkEnd w:id="62"/>
    <w:bookmarkStart w:id="63" w:name="ref-zicklerKleckner2015"/>
    <w:p>
      <w:pPr>
        <w:pStyle w:val="Bibliography"/>
      </w:pPr>
      <w:r>
        <w:t xml:space="preserve">Zickler, Denise, and Nancy Kleckner. 2015. “Recombination, Pairing, and Synapsis of Homologs During Meiosis.”</w:t>
      </w:r>
      <w:r>
        <w:t xml:space="preserve"> </w:t>
      </w:r>
      <w:r>
        <w:rPr>
          <w:i/>
        </w:rPr>
        <w:t xml:space="preserve">Cold Spring Harbor Perspectives in Biology</w:t>
      </w:r>
      <w:r>
        <w:t xml:space="preserve"> </w:t>
      </w:r>
      <w:r>
        <w:t xml:space="preserve">7 (6): a016626.</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086/704943" TargetMode="External" /><Relationship Type="http://schemas.openxmlformats.org/officeDocument/2006/relationships/hyperlink" Id="rId57" Target="https://doi.org/10.1098/rstb.2016.0455"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86/704943" TargetMode="External" /><Relationship Type="http://schemas.openxmlformats.org/officeDocument/2006/relationships/hyperlink" Id="rId57" Target="https://doi.org/10.1098/rstb.2016.0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2020-05-04T19:48:51Z</dcterms:created>
  <dcterms:modified xsi:type="dcterms:W3CDTF">2020-05-04T19:48:51Z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refs_Main_Report.bib</vt:lpwstr>
  </property>
  <property fmtid="{D5CDD505-2E9C-101B-9397-08002B2CF9AE}" pid="3" name="date">
    <vt:lpwstr/>
  </property>
  <property fmtid="{D5CDD505-2E9C-101B-9397-08002B2CF9AE}" pid="4" name="output">
    <vt:lpwstr/>
  </property>
</Properties>
</file>