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A.</w:t>
      </w:r>
      <w:r>
        <w:t xml:space="preserve"> </w:t>
      </w:r>
      <w:r>
        <w:t xml:space="preserve">Payseur</w:t>
      </w:r>
    </w:p>
    <w:p>
      <w:pPr>
        <w:pStyle w:val="Date"/>
      </w:pPr>
      <w:r>
        <w:t xml:space="preserve">2020-06-22</w:t>
      </w:r>
    </w:p>
    <w:p>
      <w:pPr>
        <w:pStyle w:val="Heading1"/>
      </w:pPr>
      <w:bookmarkStart w:id="20" w:name="abstract"/>
      <w:r>
        <w:t xml:space="preserve">ABSTRACT</w:t>
      </w:r>
      <w:bookmarkEnd w:id="20"/>
    </w:p>
    <w:p>
      <w:pPr>
        <w:pStyle w:val="FirstParagraph"/>
      </w:pPr>
      <w:r>
        <w:t xml:space="preserve">Although meiotic recombination is required for successful gametogenesis in most species that reproduce sexually, the rate of crossing over varies among individuals. The number of crossovers per meiotic cell is the genome-wide recombination rate. Differences in recombination rate between females and males are perhaps the most striking form of this variation. Existing data fail to directly address the extent to which recombination experiences similar evolutionary pressures. To fill this gap, we measured meiotic recombination in both sexes for a panel of house mouse cross three subspecies. Using inbred strains and single cell immunohistochemistry allowed us to place sex-specific observations within the same genetic background and meiotic context. Our results indicate highly discordant evolutionary patterns in the two sexes. Whereas male recombination rates show evidence of rapid evolution over short timescales, female recombination rates measured in the same strains are mostly static. These results strongly indicate that house mouse has two, one for each sex, genome-wide recombination rates which display distinct evolutionary trajectories.</w:t>
      </w:r>
    </w:p>
    <w:p>
      <w:pPr>
        <w:pStyle w:val="Heading1"/>
      </w:pPr>
      <w:bookmarkStart w:id="21" w:name="introduction"/>
      <w:r>
        <w:t xml:space="preserve">INTRODUCTION</w:t>
      </w:r>
      <w:bookmarkEnd w:id="21"/>
    </w:p>
    <w:p>
      <w:pPr>
        <w:pStyle w:val="FirstParagraph"/>
      </w:pPr>
      <w:r>
        <w:t xml:space="preserve">Meiosis can be reduced to the expression (2n -&gt; 4n -&gt; 2n -&gt; 1n) which reflects the process of a diploid genome producing haploid gametes. The total number of COs at this stage of meiosis is equal to the genome-wide recombination rate (gwRR). Meiosis, and the mixing of haploid gametes, is an important process for evolution, because it can determine a populations’ response to selection by transferring beneficial mutations onto novel genetic backgrounds or by breaking linkage of negative mutations from beneficial genetic backgrounds</w:t>
      </w:r>
      <w:r>
        <w:t xml:space="preserve"> </w:t>
      </w:r>
      <w:r>
        <w:t xml:space="preserve">(Charlesworth et al., 1993)</w:t>
      </w:r>
      <w:r>
        <w:t xml:space="preserve">. This process shapes the genomic patterns of genetic variation, with high recombination areas of genome having more nucleotide variation while areas of low recombination have decreased genetic variation</w:t>
      </w:r>
      <w:r>
        <w:t xml:space="preserve"> </w:t>
      </w:r>
      <w:r>
        <w:t xml:space="preserve">(Begun and Aquadro, 1992; Nachman and Payseur, 2012)</w:t>
      </w:r>
      <w:r>
        <w:t xml:space="preserve">. Due to it’s role in facilitating chromosomes disjunction, the genome-wide recombination rate can be thought of as a cell-based metric which is tightly connected to organisms fitness and fertility. Ensuring at least one crossover per chromosome while minimizing the rates of DNA damage and ectopic recombination are thought to regulate the lower and upper thresholds for a genome-wide recombination rate</w:t>
      </w:r>
      <w:r>
        <w:t xml:space="preserve"> </w:t>
      </w:r>
      <w:r>
        <w:t xml:space="preserve">(Nagaoka et al., 2012)</w:t>
      </w:r>
      <w:r>
        <w:t xml:space="preserve"> </w:t>
      </w:r>
      <w:r>
        <w:t xml:space="preserve">(Inoue). Yet, within these thresholds the genome-wide recombination rate still varies across species and individuals.</w:t>
      </w:r>
    </w:p>
    <w:p>
      <w:pPr>
        <w:pStyle w:val="BodyText"/>
      </w:pPr>
      <w:r>
        <w:t xml:space="preserve">Sex, or the version of gametogenesis, is one of the most notable axes of this form of variation. There are two classes of sexual dimorphism in recombination rates; the first is called achiasmy and referred to where one sex recombines</w:t>
      </w:r>
      <w:r>
        <w:t xml:space="preserve"> </w:t>
      </w:r>
      <w:r>
        <w:t xml:space="preserve">(Huxley, 1928; Lenormand and Dutheil, 2005)</w:t>
      </w:r>
      <w:r>
        <w:t xml:space="preserve">. The second, which is the focus of this manuscript, is the instance where both sexes recombine</w:t>
      </w:r>
      <w:r>
        <w:t xml:space="preserve"> </w:t>
      </w:r>
      <w:r>
        <w:t xml:space="preserve">(Lenormand and Dutheil, 2005)</w:t>
      </w:r>
      <w:r>
        <w:t xml:space="preserve">. An understanding of how sex shapes the evolution of recombination cannot be achieved with available data. Comprehensive comparisons of female and male recombination rates usually come from outbred populations humans</w:t>
      </w:r>
      <w:r>
        <w:t xml:space="preserve"> </w:t>
      </w:r>
      <w:r>
        <w:t xml:space="preserve">(Kong et al., 2004,, 2008, 2014; Halldorsson et al., 2019)</w:t>
      </w:r>
      <w:r>
        <w:t xml:space="preserve">, dog</w:t>
      </w:r>
      <w:r>
        <w:t xml:space="preserve"> </w:t>
      </w:r>
      <w:r>
        <w:t xml:space="preserve">(Wong et al., 2010)</w:t>
      </w:r>
      <w:r>
        <w:t xml:space="preserve">, cattle</w:t>
      </w:r>
      <w:r>
        <w:t xml:space="preserve"> </w:t>
      </w:r>
      <w:r>
        <w:t xml:space="preserve">(Ma et al., 2015; Shen et al., 2018)</w:t>
      </w:r>
      <w:r>
        <w:t xml:space="preserve">, (other sheep?) sheep</w:t>
      </w:r>
      <w:r>
        <w:t xml:space="preserve"> </w:t>
      </w:r>
      <w:r>
        <w:t xml:space="preserve">(Johnston et al., 2016)</w:t>
      </w:r>
      <w:r>
        <w:t xml:space="preserve"> </w:t>
      </w:r>
      <w:r>
        <w:t xml:space="preserve">petite? and mouse</w:t>
      </w:r>
      <w:r>
        <w:t xml:space="preserve"> </w:t>
      </w:r>
      <w:r>
        <w:t xml:space="preserve">(Srivastava et al., 2017)</w:t>
      </w:r>
      <w:r>
        <w:t xml:space="preserve"> </w:t>
      </w:r>
      <w:r>
        <w:t xml:space="preserve">in which the role of sex is confounded with the contributions of genetic variation.</w:t>
      </w:r>
    </w:p>
    <w:p>
      <w:pPr>
        <w:pStyle w:val="BodyText"/>
      </w:pPr>
      <w:r>
        <w:rPr>
          <w:b/>
        </w:rPr>
        <w:t xml:space="preserve">&lt;evolutionary patterns of sexual dimorphism in traits such as body size, coloration, and – can be traced to sexual antagonism / directional selection due to — differences in. not sure what I meant here</w:t>
      </w:r>
    </w:p>
    <w:p>
      <w:pPr>
        <w:pStyle w:val="BodyText"/>
      </w:pPr>
      <w:r>
        <w:t xml:space="preserve">For many secondary sexually dimorphic traits, the mode of selection can be traced to the divergent targets of selection. In anisogamy systems where gametogenesis is modified to produce distinct gametes across sexes, the meiotic program is the same and there is no first principles which would predict the evolution of sexually dimorphism in crossover number per cell. Yet heterochiasmy is commonly observed in dioecious species, suggesting that other meiotic traits which distinguish the gametes and their meiotic programs, for example symmetrical vs asymmetrical cell division, may impose selection for sexually dimorphic recombination rates. Asymmetrical cell division is one of the best distinguishers for sex in metazoans, however there are exceptions, including scarid flies and brown algae</w:t>
      </w:r>
      <w:r>
        <w:t xml:space="preserve"> </w:t>
      </w:r>
      <w:r>
        <w:t xml:space="preserve">(Gorelick et al., 2017)</w:t>
      </w:r>
      <w:r>
        <w:t xml:space="preserve">, yet empirical data on meiotic recombination from such organisms is missing. In the organisms for which there are empirical data on meiotic recombination rates, it is clear that the relationship between female and male recombination rates can differ among species, however comparisons between and within closely related species are missing. Direct contrasts between females and males across a common, diverse set of genomic backgrounds would reveal whether the recombination rate evolves differently in the sexes.</w:t>
      </w:r>
    </w:p>
    <w:p>
      <w:pPr>
        <w:pStyle w:val="BodyText"/>
      </w:pPr>
      <w:r>
        <w:t xml:space="preserve">When considering the evolutionary patterns for genome based metric is to also consider patterns at the individual chromosome scale. The genome-wide recombination rate can be decomposed into single chromosome patterns, referred to as recombination landscapes. There are conserved patterns relevant to heterochiasmy at this scale. Recently two specific features have been highlighted as conserved patterns related heterochiasmy, specifically the recombination landscape. In a review of data from mus musculus, C. elegans and arabidopsis thalania with meiotic chromosome morphology (axis-loop structure) quantified in both sexes,</w:t>
      </w:r>
      <w:r>
        <w:t xml:space="preserve"> </w:t>
      </w:r>
      <w:r>
        <w:t xml:space="preserve">Cahoon and Libuda (2019)</w:t>
      </w:r>
      <w:r>
        <w:t xml:space="preserve"> </w:t>
      </w:r>
      <w:r>
        <w:t xml:space="preserve">find that the sex with longer chromosome axis generally has higher recombination rates. A survey of 51 species shows there are conserved broad scale recombination landscape differences. Generally males have telomere-bias crossover placement and females have more uniform placement</w:t>
      </w:r>
      <w:r>
        <w:t xml:space="preserve"> </w:t>
      </w:r>
      <w:r>
        <w:t xml:space="preserve">(Sardell and Kirkpatrick, 2020)</w:t>
      </w:r>
      <w:r>
        <w:t xml:space="preserve">. These observations raise the question of how conservation of sexually dimorphic genome-wide recombination rates and its’ decomposed traits.</w:t>
      </w:r>
    </w:p>
    <w:p>
      <w:pPr>
        <w:pStyle w:val="BodyText"/>
      </w:pPr>
      <w:r>
        <w:t xml:space="preserve">Integrating patterns across multiple scales – into a unified evolutionary pattern requires a good model system with multiple evolutionary levels for gauging the robustness of patterns across multiple scales. The house mouse, (Mus musculus), arose from a recent radiation (0.5 mya to 5 mya) (</w:t>
      </w:r>
      <w:r>
        <w:t xml:space="preserve">Geraldes et al. (2011)</w:t>
      </w:r>
      <w:r>
        <w:t xml:space="preserve">;</w:t>
      </w:r>
      <w:r>
        <w:t xml:space="preserve"> </w:t>
      </w:r>
      <w:r>
        <w:t xml:space="preserve">Geraldes et al. (2008)</w:t>
      </w:r>
      <w:r>
        <w:t xml:space="preserve">) into several subspecies providing an opportunity to interrogate natural variation at short evolutionary scales. This short evolutionary scale is valuable for increasing heterochiasmy observations, since recombination rates are known to evolve rapidly (cite). Classical lab strains of mice have generated extensive knowledge central to meiosis and outcomes on recombination through extensive studies on the genes involved in the meiotic recombination pathway</w:t>
      </w:r>
      <w:r>
        <w:t xml:space="preserve"> </w:t>
      </w:r>
      <w:r>
        <w:t xml:space="preserve">(Baudat et al., 2013; Handel and Schimenti, 2010)</w:t>
      </w:r>
      <w:r>
        <w:t xml:space="preserve">, and previous crosses for understanding the genetic architecture of recombination rate variation</w:t>
      </w:r>
      <w:r>
        <w:t xml:space="preserve"> </w:t>
      </w:r>
      <w:r>
        <w:t xml:space="preserve">(Dumont and Payseur, 2011; Murdoch et al., 2010; Wang and Payseur, 2017)</w:t>
      </w:r>
      <w:r>
        <w:t xml:space="preserve">. Additionally due to their global distribution allows comparisons of from a broad geographic range that might be missed with classical inbred strains. Wild derived inbred strains of house mouse, enable one of the most direct comparison of female and male gametogenesis, since besides the sex chromosomes, the mouse for each genome are identical. Additionally, this model has advantages for single cell cytology approaches, enabling integration of data at a closer connection to the molecular pathway and meiotic program.</w:t>
      </w:r>
    </w:p>
    <w:p>
      <w:pPr>
        <w:pStyle w:val="BodyText"/>
      </w:pPr>
      <w:r>
        <w:t xml:space="preserve">In this study, we quantify gwRRs from both sexes, in a panel of inbred mouse strains. We observed highly distinct evolutionary trajectories between males and females. This is due to rapid male specific evolution in the gwRR from two strains in musculus and 1 strain in molossinus. We observed up to a 30% difference (translating into approximately ~7 more crossovers per cell), a surprising amount considering the short evolutionary time scale. This pattern of rapid evolution was not observed in females. In our comparisons of recombination landscapes across sex, our results confirm previously reported patterns for sex differences in the general recombination landscape (Sardell and Kirkpatrick, 2020). Intriguingly, these patterns hold even in the case of genome more crossovers, but general landscape patterns still maintain sex-specific patterns.</w:t>
      </w:r>
    </w:p>
    <w:p>
      <w:pPr>
        <w:pStyle w:val="Heading1"/>
      </w:pPr>
      <w:bookmarkStart w:id="22" w:name="results"/>
      <w:r>
        <w:t xml:space="preserve">RESULTS</w:t>
      </w:r>
      <w:bookmarkEnd w:id="22"/>
    </w:p>
    <w:p>
      <w:pPr>
        <w:pStyle w:val="Heading2"/>
      </w:pPr>
      <w:bookmarkStart w:id="23" w:name="Xe2805188b4a375d8984d71ca50a462843d73200"/>
      <w:r>
        <w:t xml:space="preserve">Genome-wide recombination rate evolves differently in females and males</w:t>
      </w:r>
      <w:bookmarkEnd w:id="23"/>
    </w:p>
    <w:p>
      <w:pPr>
        <w:pStyle w:val="FirstParagraph"/>
      </w:pPr>
      <w:r>
        <w:t xml:space="preserve">We used counts of MLH1 foci per cell to estimate genome-wide recombination rates in 14 wild-derived inbred strains sampled from three subspecies of house mice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three additional species of Mus (</w:t>
      </w:r>
      <w:r>
        <w:rPr>
          <w:i/>
        </w:rPr>
        <w:t xml:space="preserve">M. spretus</w:t>
      </w:r>
      <w:r>
        <w:t xml:space="preserve">,</w:t>
      </w:r>
      <w:r>
        <w:t xml:space="preserve"> </w:t>
      </w:r>
      <w:r>
        <w:rPr>
          <w:i/>
        </w:rPr>
        <w:t xml:space="preserve">M. spicilegus</w:t>
      </w:r>
      <w:r>
        <w:t xml:space="preserve"> </w:t>
      </w:r>
      <w:r>
        <w:t xml:space="preserve">, and</w:t>
      </w:r>
      <w:r>
        <w:t xml:space="preserve"> </w:t>
      </w:r>
      <w:r>
        <w:rPr>
          <w:i/>
        </w:rPr>
        <w:t xml:space="preserve">M. caroli</w:t>
      </w:r>
      <w:r>
        <w:t xml:space="preserve">). Mean MLH1 focus counts for 188 mice were quantified from an average of 21.77 spermatocytes per male (for a total of 1,742 spermatocytes) and 17.85 oocytes per female (for a total of 1,427 oocytes).</w:t>
      </w:r>
    </w:p>
    <w:p>
      <w:pPr>
        <w:pStyle w:val="BodyText"/>
      </w:pPr>
      <w:r>
        <w:t xml:space="preserve">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w:t>
      </w:r>
      <w:r>
        <w:t xml:space="preserve"> </w:t>
      </w:r>
      <m:oMath>
        <m:r>
          <m:t>ρ</m:t>
        </m:r>
      </m:oMath>
      <w:r>
        <w:t xml:space="preserve"> </w:t>
      </w:r>
      <w:r>
        <w:t xml:space="preserve">= 0.08; p = 0.84) across the set of strains.</w:t>
      </w:r>
    </w:p>
    <w:p>
      <w:pPr>
        <w:pStyle w:val="BodyText"/>
      </w:pPr>
      <w:r>
        <w:t xml:space="preserve">To further partition variation in recombination rate, we fit a series of linear models to mean MLH1 focus counts from 137 house mice (Table 2; detailed results available in Supplemental Table X). Strain, sex, subspecies, and sex*subspecies each affect MLH1 focus count in a linear mixed model (M1; strain (random effect): p &lt; 10^{-4}; sex: p = 3.64</w:t>
      </w:r>
      <w:r>
        <w:t xml:space="preserve">10^{-6}; subspecies: p = 9.69</w:t>
      </w:r>
      <w:r>
        <w:t xml:space="preserve">10^{-4}; subspecies*sex: p = 1.8</w:t>
      </w:r>
      <w:r>
        <w:t xml:space="preserve">10^{-4}).</w:t>
      </w:r>
    </w:p>
    <w:p>
      <w:pPr>
        <w:pStyle w:val="BodyText"/>
      </w:pPr>
      <w:r>
        <w:t xml:space="preserve">The effect of subspecies is no longer significant in a model treating all factors as fixed effects (M2; Musc p = 0.24, Mol p = 0.1), highlighting strain and sex as salient variables. Two strains exhibit particularly strong effects on MLH1 focus count (M3;</w:t>
      </w:r>
      <w:r>
        <w:t xml:space="preserve"> </w:t>
      </w:r>
      <w:r>
        <w:rPr>
          <w:i/>
        </w:rPr>
        <w:t xml:space="preserve">domesticus</w:t>
      </w:r>
      <w:r>
        <w:rPr>
          <w:vertAlign w:val="superscript"/>
          <w:i/>
        </w:rPr>
        <w:t xml:space="preserve">G</w:t>
      </w:r>
      <w:r>
        <w:t xml:space="preserve"> </w:t>
      </w:r>
      <w:r>
        <w:t xml:space="preserve">p = 1.78</w:t>
      </w:r>
      <w:r>
        <w:t xml:space="preserve">10^{-6} ;</w:t>
      </w:r>
      <w:r>
        <w:t xml:space="preserve"> </w:t>
      </w:r>
      <w:r>
        <w:rPr>
          <w:i/>
        </w:rPr>
        <w:t xml:space="preserve">domesticus</w:t>
      </w:r>
      <w:r>
        <w:rPr>
          <w:vertAlign w:val="superscript"/>
          <w:i/>
        </w:rPr>
        <w:t xml:space="preserve">LEW</w:t>
      </w:r>
      <w:r>
        <w:t xml:space="preserve"> </w:t>
      </w:r>
      <w:r>
        <w:t xml:space="preserve">p = 0.02), with sex-strain interactions involving three strains (M3;</w:t>
      </w:r>
      <w:r>
        <w:t xml:space="preserve"> </w:t>
      </w:r>
      <w:r>
        <w:rPr>
          <w:i/>
        </w:rPr>
        <w:t xml:space="preserve">domesticus</w:t>
      </w:r>
      <w:r>
        <w:rPr>
          <w:vertAlign w:val="superscript"/>
          <w:i/>
        </w:rPr>
        <w:t xml:space="preserve">G</w:t>
      </w:r>
      <w:r>
        <w:t xml:space="preserve"> </w:t>
      </w:r>
      <w:r>
        <w:t xml:space="preserve">p = 0;</w:t>
      </w:r>
      <w:r>
        <w:t xml:space="preserve"> </w:t>
      </w:r>
      <w:r>
        <w:rPr>
          <w:i/>
        </w:rPr>
        <w:t xml:space="preserve">molossinus</w:t>
      </w:r>
      <w:r>
        <w:rPr>
          <w:vertAlign w:val="superscript"/>
          <w:i/>
        </w:rPr>
        <w:t xml:space="preserve">MSM</w:t>
      </w:r>
      <w:r>
        <w:t xml:space="preserve"> </w:t>
      </w:r>
      <w:r>
        <w:t xml:space="preserve">p = 0 ;</w:t>
      </w:r>
      <w:r>
        <w:t xml:space="preserve"> </w:t>
      </w:r>
      <w:r>
        <w:rPr>
          <w:i/>
        </w:rPr>
        <w:t xml:space="preserve">musculus</w:t>
      </w:r>
      <w:r>
        <w:rPr>
          <w:vertAlign w:val="superscript"/>
          <w:i/>
        </w:rPr>
        <w:t xml:space="preserve">PWD</w:t>
      </w:r>
      <w:r>
        <w:t xml:space="preserve"> </w:t>
      </w:r>
      <w:r>
        <w:t xml:space="preserve">p = 3.87</w:t>
      </w:r>
      <w:r>
        <w:t xml:space="preserve">10^{-4}).</w:t>
      </w:r>
    </w:p>
    <w:p>
      <w:pPr>
        <w:pStyle w:val="BodyText"/>
      </w:pPr>
      <w:r>
        <w:t xml:space="preserve">In separate analyses of males (M4; n = 71), three strains disproportionately shape MLH1 focus count (as observed in Figure 1C):</w:t>
      </w:r>
      <w:r>
        <w:t xml:space="preserve"> </w:t>
      </w:r>
      <w:r>
        <w:rPr>
          <w:i/>
        </w:rPr>
        <w:t xml:space="preserve">musculus</w:t>
      </w:r>
      <w:r>
        <w:rPr>
          <w:vertAlign w:val="superscript"/>
          <w:i/>
        </w:rPr>
        <w:t xml:space="preserve">PWD</w:t>
      </w:r>
      <w:r>
        <w:t xml:space="preserve"> </w:t>
      </w:r>
      <w:r>
        <w:t xml:space="preserve">(p = 3.6</w:t>
      </w:r>
      <w:r>
        <w:t xml:space="preserve">10^{-7} ; effect = 6.11 ),</w:t>
      </w:r>
      <w:r>
        <w:t xml:space="preserve"> </w:t>
      </w:r>
      <w:r>
        <w:rPr>
          <w:i/>
        </w:rPr>
        <w:t xml:space="preserve">molossinus</w:t>
      </w:r>
      <w:r>
        <w:rPr>
          <w:vertAlign w:val="superscript"/>
          <w:i/>
        </w:rPr>
        <w:t xml:space="preserve">MSM</w:t>
      </w:r>
      <w:r>
        <w:t xml:space="preserve"> </w:t>
      </w:r>
      <w:r>
        <w:t xml:space="preserve">(p = 6.3</w:t>
      </w:r>
      <w:r>
        <w:t xml:space="preserve">10^{-9}; effect = 6.91), and</w:t>
      </w:r>
      <w:r>
        <w:t xml:space="preserve"> </w:t>
      </w:r>
      <w:r>
        <w:rPr>
          <w:i/>
        </w:rPr>
        <w:t xml:space="preserve">musculus</w:t>
      </w:r>
      <w:r>
        <w:rPr>
          <w:vertAlign w:val="superscript"/>
          <w:i/>
        </w:rPr>
        <w:t xml:space="preserve">SKIVE</w:t>
      </w:r>
      <w:r>
        <w:t xml:space="preserve"> </w:t>
      </w:r>
      <w:r>
        <w:t xml:space="preserve">(p = 8.22</w:t>
      </w:r>
      <w:r>
        <w:t xml:space="preserve">10^{-4}; effect = 4.04 ). 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In females (M4; n= 76), four strains affect MLH1 focus count:</w:t>
      </w:r>
      <w:r>
        <w:t xml:space="preserve"> </w:t>
      </w:r>
      <w:r>
        <w:rPr>
          <w:i/>
        </w:rPr>
        <w:t xml:space="preserve">domesticus</w:t>
      </w:r>
      <w:r>
        <w:rPr>
          <w:vertAlign w:val="superscript"/>
          <w:i/>
        </w:rPr>
        <w:t xml:space="preserve">G</w:t>
      </w:r>
      <w:r>
        <w:t xml:space="preserve"> </w:t>
      </w:r>
      <w:r>
        <w:t xml:space="preserve">(p = 8.7</w:t>
      </w:r>
      <w:r>
        <w:t xml:space="preserve">10^{-6}; effect = 3.3),</w:t>
      </w:r>
      <w:r>
        <w:t xml:space="preserve"> </w:t>
      </w:r>
      <w:r>
        <w:rPr>
          <w:i/>
        </w:rPr>
        <w:t xml:space="preserve">molossinus</w:t>
      </w:r>
      <w:r>
        <w:rPr>
          <w:vertAlign w:val="superscript"/>
          <w:i/>
        </w:rPr>
        <w:t xml:space="preserve">MSM</w:t>
      </w:r>
      <w:r>
        <w:t xml:space="preserve"> </w:t>
      </w:r>
      <w:r>
        <w:t xml:space="preserve">(p = 2.43</w:t>
      </w:r>
      <w:r>
        <w:t xml:space="preserve">10^{-5}; effect = 2.99),</w:t>
      </w:r>
      <w:r>
        <w:t xml:space="preserve"> </w:t>
      </w:r>
      <w:r>
        <w:rPr>
          <w:i/>
        </w:rPr>
        <w:t xml:space="preserve">domesticus</w:t>
      </w:r>
      <w:r>
        <w:rPr>
          <w:vertAlign w:val="superscript"/>
          <w:i/>
        </w:rPr>
        <w:t xml:space="preserve">LEW</w:t>
      </w:r>
      <w:r>
        <w:t xml:space="preserve"> </w:t>
      </w:r>
      <w:r>
        <w:t xml:space="preserve">(p = 0.03 ; effect = 1.69), and</w:t>
      </w:r>
      <w:r>
        <w:t xml:space="preserve"> </w:t>
      </w:r>
      <w:r>
        <w:rPr>
          <w:i/>
        </w:rPr>
        <w:t xml:space="preserve">musculus</w:t>
      </w:r>
      <w:r>
        <w:rPr>
          <w:vertAlign w:val="superscript"/>
          <w:i/>
        </w:rPr>
        <w:t xml:space="preserve">PWD</w:t>
      </w:r>
      <w:r>
        <w:t xml:space="preserve"> </w:t>
      </w:r>
      <w:r>
        <w:t xml:space="preserve">(p = 0.09; effect = 1.11). Strain effect sizes in females are modest in magnitude compared to those in males. Together, these results demonstrate that the genome-wide recombination rate evolves in a highly sex-specific manner.</w:t>
      </w:r>
    </w:p>
    <w:p>
      <w:pPr>
        <w:pStyle w:val="Heading2"/>
      </w:pPr>
      <w:bookmarkStart w:id="24" w:name="X17bf90c1e16eb4d82acd6cbc6a02910513cd769"/>
      <w:r>
        <w:t xml:space="preserve">Synaptonemal complexes are longer in females</w:t>
      </w:r>
      <w:bookmarkEnd w:id="24"/>
    </w:p>
    <w:p>
      <w:pPr>
        <w:pStyle w:val="FirstParagraph"/>
      </w:pPr>
      <w:r>
        <w:t xml:space="preserve">The variation in sex differences in recombination we discovered provided an opportunity to determine whether sex differences in chromatin compaction, as measured by the length of the synaptonemal complex (SC),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(t-tests; all p &lt; 0.05, except short bivalents in</w:t>
      </w:r>
      <w:r>
        <w:t xml:space="preserve"> </w:t>
      </w:r>
      <w:r>
        <w:rPr>
          <w:i/>
        </w:rPr>
        <w:t xml:space="preserve">musculus</w:t>
      </w:r>
      <w:r>
        <w:rPr>
          <w:vertAlign w:val="superscript"/>
          <w:i/>
        </w:rPr>
        <w:t xml:space="preserve">SKIVE</w:t>
      </w:r>
      <w:r>
        <w:t xml:space="preserve">, p = 0.11).</w:t>
      </w:r>
    </w:p>
    <w:p>
      <w:pPr>
        <w:pStyle w:val="BodyText"/>
      </w:pPr>
      <w:r>
        <w:t xml:space="preserve">Among short bivalents (to which the female X bivalent does not contribute), female to male ratios of mouse mean SC length range from 1.26 (</w:t>
      </w:r>
      <w:r>
        <w:rPr>
          <w:i/>
        </w:rPr>
        <w:t xml:space="preserve">musculus</w:t>
      </w:r>
      <w:r>
        <w:rPr>
          <w:vertAlign w:val="superscript"/>
          <w:i/>
        </w:rPr>
        <w:t xml:space="preserve">PWD</w:t>
      </w:r>
      <w:r>
        <w:t xml:space="preserve">) to 1.52 (</w:t>
      </w:r>
      <w:r>
        <w:rPr>
          <w:i/>
        </w:rPr>
        <w:t xml:space="preserve">domesticus</w:t>
      </w:r>
      <w:r>
        <w:rPr>
          <w:vertAlign w:val="superscript"/>
          <w:i/>
        </w:rPr>
        <w:t xml:space="preserve">WSB</w:t>
      </w:r>
      <w:r>
        <w:t xml:space="preserve">) across strains. That females have longer SCs is further supported by models that include covariates, which identify sex as the most consistently significant effect for total SC length (M1: p = 2.56</w:t>
      </w:r>
      <w:r>
        <w:t xml:space="preserve">10^{-31} ; M2: p =</w:t>
      </w:r>
      <w:r>
        <w:t xml:space="preserve"> </w:t>
      </w:r>
      <w:r>
        <w:t xml:space="preserve">2.56</w:t>
      </w:r>
      <w:r>
        <w:t xml:space="preserve">10^{-8}; M3: p =2.56</w:t>
      </w:r>
      <w:r>
        <w:t xml:space="preserve">10^{-8} ) and short bivalent length (M1: p = 1.12</w:t>
      </w:r>
      <w:r>
        <w:t xml:space="preserve">10^{-11}}; M2: p = 1.33</w:t>
      </w:r>
      <w:r>
        <w:t xml:space="preserve">10^{-7}; M3: p = 1.33</w:t>
      </w:r>
      <w:r>
        <w:t xml:space="preserve">10^{-7}). The existence of some subspecies and strain effects on total SC and short bivalent SC Length further indicates that SC length has evolved among strains and among subspecies (See Supplemental Tables 5 and 8). 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pPr>
        <w:pStyle w:val="Heading2"/>
      </w:pPr>
      <w:bookmarkStart w:id="25" w:name="X3e39f5ff835cd71c450067efce71dc3d71d9f45"/>
      <w:r>
        <w:t xml:space="preserve">Females and males differ in crossover positions and crossover interference</w:t>
      </w:r>
      <w:bookmarkEnd w:id="25"/>
    </w:p>
    <w:p>
      <w:pPr>
        <w:pStyle w:val="FirstParagraph"/>
      </w:pPr>
      <w:r>
        <w:t xml:space="preserve">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females: 0.56; paired t-test; p = 8.49</w:t>
      </w:r>
      <w:r>
        <w:t xml:space="preserve">10^{-4}). Sex is also the strongest determinant of MLH1 focus position in the models we tested (M1: p = 2.82</w:t>
      </w:r>
      <w:r>
        <w:t xml:space="preserve">10^{-26}}; M2: p = 3.96</w:t>
      </w:r>
      <w:r>
        <w:t xml:space="preserve">10^{-8}; M3: p = 3.96</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(t-tests; p &lt; 0.05), with only</w:t>
      </w:r>
      <w:r>
        <w:t xml:space="preserve"> </w:t>
      </w:r>
      <w:r>
        <w:rPr>
          <w:i/>
        </w:rPr>
        <w:t xml:space="preserve">musculus</w:t>
      </w:r>
      <w:r>
        <w:rPr>
          <w:vertAlign w:val="superscript"/>
          <w:i/>
        </w:rPr>
        <w:t xml:space="preserve">KAZ</w:t>
      </w:r>
      <w:r>
        <w:t xml:space="preserve"> </w:t>
      </w:r>
      <w:r>
        <w:t xml:space="preserve">showing no difference (p = 0.33). Examination of IFD</w:t>
      </w:r>
      <w:r>
        <w:rPr>
          <w:vertAlign w:val="subscript"/>
        </w:rPr>
        <w:t xml:space="preserve">norm</w:t>
      </w:r>
      <w:r>
        <w:t xml:space="preserve"> </w:t>
      </w:r>
      <w:r>
        <w:t xml:space="preserve">distributions indicates that females are centered at approximately 50% and show a slight enrichment of low (&lt;25%) values, whereas males are enriched for higher values. Models treating IFD</w:t>
      </w:r>
      <w:r>
        <w:rPr>
          <w:vertAlign w:val="subscript"/>
        </w:rPr>
        <w:t xml:space="preserve">norm</w:t>
      </w:r>
      <w:r>
        <w:t xml:space="preserve"> </w:t>
      </w:r>
      <w:r>
        <w:t xml:space="preserve">as the dependent variable support the inference of stronger interference in males, with sex being the most significant variable (M1: p = 9.08</w:t>
      </w:r>
      <w:r>
        <w:t xml:space="preserve">10^{-12} ; M2: p = 0.01; M3: p = 0.01). In contrast, there is no clear signal of sex differences in raw mean inter-focal distances (IFD</w:t>
      </w:r>
      <w:r>
        <w:rPr>
          <w:vertAlign w:val="subscript"/>
        </w:rPr>
        <w:t xml:space="preserve">raw</w:t>
      </w:r>
      <w:r>
        <w:t xml:space="preserve">) (Supplemental Table 13 and 14)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indicates that interference is stronger in males, whereas interference on the physical scale is similar in the sexes.</w:t>
      </w:r>
    </w:p>
    <w:p>
      <w:pPr>
        <w:pStyle w:val="Heading2"/>
      </w:pPr>
      <w:bookmarkStart w:id="26" w:name="X8ce7e5bd8caf09821799fb34b722f61c3f51871"/>
      <w:r>
        <w:t xml:space="preserve">Evolution of genome-wide recombination rate is dispersed across bivalents, associated with double-strand break number, and connected to crossover interference</w:t>
      </w:r>
      <w:bookmarkEnd w:id="26"/>
    </w:p>
    <w:p>
      <w:pPr>
        <w:pStyle w:val="FirstParagraph"/>
      </w:pPr>
      <w:r>
        <w:t xml:space="preserve">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pPr>
        <w:pStyle w:val="BodyText"/>
      </w:pPr>
      <w:r>
        <w:t xml:space="preserve">Ninety-six percent of single bivalents in our pooled dataset (n = 9,569 ) have either one or two MLH foci (Supplemental Figure 2). The proportions of single-focus (1CO) bivalents vs. double-focus (2CO) bivalents distinguish high-recombination strains from low-recombination strains (Supplemental Figure 2). High-recombination strains are enriched for 2CO bivalents at the expense of 1CO bivalents: proportions of 2CO bivalents are 0.33 in</w:t>
      </w:r>
      <w:r>
        <w:t xml:space="preserve"> </w:t>
      </w:r>
      <w:r>
        <w:rPr>
          <w:i/>
        </w:rPr>
        <w:t xml:space="preserve">musculus</w:t>
      </w:r>
      <w:r>
        <w:rPr>
          <w:vertAlign w:val="superscript"/>
          <w:i/>
        </w:rPr>
        <w:t xml:space="preserve">SKIVE</w:t>
      </w:r>
      <w:r>
        <w:t xml:space="preserve">, 0.44 in</w:t>
      </w:r>
      <w:r>
        <w:t xml:space="preserve"> </w:t>
      </w:r>
      <w:r>
        <w:rPr>
          <w:i/>
        </w:rPr>
        <w:t xml:space="preserve">musculus</w:t>
      </w:r>
      <w:r>
        <w:rPr>
          <w:vertAlign w:val="superscript"/>
          <w:i/>
        </w:rPr>
        <w:t xml:space="preserve">PWD</w:t>
      </w:r>
      <w:r>
        <w:t xml:space="preserve"> </w:t>
      </w:r>
      <w:r>
        <w:t xml:space="preserve">, and 0.51 in</w:t>
      </w:r>
      <w:r>
        <w:t xml:space="preserve"> </w:t>
      </w:r>
      <w:r>
        <w:rPr>
          <w:i/>
        </w:rPr>
        <w:t xml:space="preserve">molossinus</w:t>
      </w:r>
      <w:r>
        <w:rPr>
          <w:vertAlign w:val="superscript"/>
          <w:i/>
        </w:rPr>
        <w:t xml:space="preserve">MSM</w:t>
      </w:r>
      <w:r>
        <w:t xml:space="preserve"> </w:t>
      </w:r>
      <w:r>
        <w:t xml:space="preserve">(Supplemental Figure 3).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molossinus</w:t>
      </w:r>
      <w:r>
        <w:rPr>
          <w:vertAlign w:val="superscript"/>
          <w:i/>
        </w:rPr>
        <w:t xml:space="preserve">MSM</w:t>
      </w:r>
      <w:r>
        <w:t xml:space="preserve">: p = 0.37 ;</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2.34</w:t>
      </w:r>
      <w:r>
        <w:t xml:space="preserve">10^{-6} ). These results demonstrate that evolution of the genome-wide recombination rate reflects changes in crossover number across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two high-recombination strains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and three low-recombination strains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High-recombination strains have significantly more DMC1 foci than low-recombination strains in early zygotene cells (t-test; p &lt; 10^{-6} ). In contrast, the two strain groups do not differ in DMC1 foci in late zygotene cells (t-test; p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in house mice.</w:t>
      </w:r>
    </w:p>
    <w:p>
      <w:pPr>
        <w:pStyle w:val="BodyText"/>
      </w:pPr>
      <w:r>
        <w:t xml:space="preserve">Total SC length only partially differentiates high-recombination strains from low-recombination strains (Figure 3). Whereas high-recombination strains as a group have significantly greater total SC length than low-recombination strains (t-test; p = 0.01), separate tests within subspecies show that the two strain categories differ within</w:t>
      </w:r>
      <w:r>
        <w:t xml:space="preserve"> </w:t>
      </w:r>
      <w:r>
        <w:rPr>
          <w:i/>
        </w:rPr>
        <w:t xml:space="preserve">M. m. molossinus</w:t>
      </w:r>
      <w:r>
        <w:t xml:space="preserve"> </w:t>
      </w:r>
      <w:r>
        <w:t xml:space="preserve">(p = 2.59</w:t>
      </w:r>
      <w:r>
        <w:t xml:space="preserve">10^{-4}) but not within</w:t>
      </w:r>
      <w:r>
        <w:t xml:space="preserve"> </w:t>
      </w:r>
      <w:r>
        <w:rPr>
          <w:i/>
        </w:rPr>
        <w:t xml:space="preserve">M. m. musculus</w:t>
      </w:r>
      <w:r>
        <w:t xml:space="preserve"> </w:t>
      </w:r>
      <w:r>
        <w:t xml:space="preserve">(p = 0.65). Additionally, mouse means for the reduced (short and long) bivalent datasets do not differ between high-recombination and low-recombination strains (t-test; short: p = 0.84 ; long: p = 0.19 ). In a model with total SC length as the dependent variable (M4), the two subspecies effects are significant (</w:t>
      </w:r>
      <w:r>
        <w:rPr>
          <w:i/>
        </w:rPr>
        <w:t xml:space="preserve">M. m. musculus</w:t>
      </w:r>
      <w:r>
        <w:t xml:space="preserve"> </w:t>
      </w:r>
      <w:r>
        <w:t xml:space="preserve">p = 3.95</w:t>
      </w:r>
      <w:r>
        <w:t xml:space="preserve">10^{-7} and</w:t>
      </w:r>
      <w:r>
        <w:t xml:space="preserve"> </w:t>
      </w:r>
      <w:r>
        <w:rPr>
          <w:i/>
        </w:rPr>
        <w:t xml:space="preserve">M. m. molossinus</w:t>
      </w:r>
      <w:r>
        <w:t xml:space="preserve">, p = 3.33</w:t>
      </w:r>
      <w:r>
        <w:t xml:space="preserve">10^{-7}), however there are also strain specific effects (Supplemental Table 6).</w:t>
      </w:r>
    </w:p>
    <w:p>
      <w:pPr>
        <w:pStyle w:val="BodyText"/>
      </w:pPr>
      <w:r>
        <w:t xml:space="preserve">In models with SC lengths of short and long bivalents as dependent variables, several subspecies and strain effects reach significance (p &lt; 0.05) (Supplemental Table 9), but they are not consistent across models. Collectively, these results reveal that evolution of SC length is not strongly associated with evolution of genome-wide recombination rate in house mice. In summary, evolution of the genome-wide recombination rate in males is connected to double-strand break number and crossover interference, but not to SC length and crossover position (on single-crossover bivalents).</w:t>
      </w:r>
    </w:p>
    <w:p>
      <w:pPr>
        <w:pStyle w:val="Heading1"/>
      </w:pPr>
      <w:bookmarkStart w:id="27" w:name="discussion"/>
      <w:r>
        <w:t xml:space="preserve">DISCUSSION</w:t>
      </w:r>
      <w:bookmarkEnd w:id="27"/>
    </w:p>
    <w:p>
      <w:pPr>
        <w:pStyle w:val="FirstParagraph"/>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females and males. These disparities are remarkable given that recombination rates for the two sexes were measured in identical genomic backgrounds (other than the presence/absence of the Y chromosome). Our results provide the strongest evidence yet that the genome-wide recombination rate follows distinct evolutionary trajectories in males and females.</w:t>
      </w:r>
    </w:p>
    <w:p>
      <w:pPr>
        <w:pStyle w:val="BodyText"/>
      </w:pP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w:t>
      </w:r>
      <w:r>
        <w:t xml:space="preserve"> </w:t>
      </w:r>
      <w:r>
        <w:t xml:space="preserve">(Kong et al., 2004,, 2008, 2014; Halldorsson et al., 2019)</w:t>
      </w:r>
      <w:r>
        <w:t xml:space="preserve">, Soay sheep</w:t>
      </w:r>
      <w:r>
        <w:t xml:space="preserve"> </w:t>
      </w:r>
      <w:r>
        <w:t xml:space="preserve">(Johnston et al., 2016)</w:t>
      </w:r>
      <w:r>
        <w:t xml:space="preserve">, and cattle</w:t>
      </w:r>
      <w:r>
        <w:t xml:space="preserve"> </w:t>
      </w:r>
      <w:r>
        <w:t xml:space="preserve">(Ma et al., 2015; Shen et al., 2018)</w:t>
      </w:r>
      <w:r>
        <w:t xml:space="preserve"> </w:t>
      </w:r>
      <w:r>
        <w:t xml:space="preserve">appear to show sex-specific properties, including opposite effects in females and males. Furthermore, inter-sexual correlations for recombination rate are weak in humans</w:t>
      </w:r>
      <w:r>
        <w:t xml:space="preserve"> </w:t>
      </w:r>
      <w:r>
        <w:t xml:space="preserve">(Fledel-Alon et al., 2011)</w:t>
      </w:r>
      <w:r>
        <w:t xml:space="preserve"> </w:t>
      </w:r>
      <w:r>
        <w:t xml:space="preserve">and Soay sheep</w:t>
      </w:r>
      <w:r>
        <w:t xml:space="preserve"> </w:t>
      </w:r>
      <w:r>
        <w:t xml:space="preserve">(Johnston et al., 2016)</w:t>
      </w:r>
      <w:r>
        <w:t xml:space="preserve">. Crosses between the strains we surveyed could be used to identify and characterize the genetic variants responsible for recombination rate evolution in house mice</w:t>
      </w:r>
      <w:r>
        <w:t xml:space="preserve"> </w:t>
      </w:r>
      <w:r>
        <w:t xml:space="preserve">(Dumont and Payseur, 2011; Wang et al., 2019; Wang and Payseur, 2017)</w:t>
      </w:r>
      <w:r>
        <w:t xml:space="preserve">.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w:t>
      </w:r>
      <w:r>
        <w:t xml:space="preserve"> </w:t>
      </w:r>
      <w:r>
        <w:t xml:space="preserve">(Baier et al., 2014)</w:t>
      </w:r>
      <w:r>
        <w:t xml:space="preserve">.</w:t>
      </w:r>
    </w:p>
    <w:p>
      <w:pPr>
        <w:pStyle w:val="BodyText"/>
      </w:pPr>
      <w:r>
        <w:t xml:space="preserve">Another implication of our results is that the connection between recombination rate and fitness differs between males and females. Little is known about whether and how natural selection shapes recombination rate in nature</w:t>
      </w:r>
      <w:r>
        <w:t xml:space="preserve"> </w:t>
      </w:r>
      <w:r>
        <w:t xml:space="preserve">(Dapper and Payseur, 2017; Ritz et al., 2017)</w:t>
      </w:r>
      <w:r>
        <w:t xml:space="preserve">.</w:t>
      </w:r>
      <w:r>
        <w:t xml:space="preserve"> </w:t>
      </w:r>
      <w:r>
        <w:t xml:space="preserve">Samuk et al. (2020)</w:t>
      </w:r>
      <w:r>
        <w:t xml:space="preserve"> </w:t>
      </w:r>
      <w:r>
        <w:t xml:space="preserve">recently used a quantitative genetic test to conclude that an 8% difference in genome-wide recombination rate between females from two populations of</w:t>
      </w:r>
      <w:r>
        <w:t xml:space="preserve"> </w:t>
      </w:r>
      <w:r>
        <w:rPr>
          <w:i/>
        </w:rPr>
        <w:t xml:space="preserve">Drosophila pseudoobscura</w:t>
      </w:r>
      <w:r>
        <w:t xml:space="preserve"> </w:t>
      </w:r>
      <w:r>
        <w:t xml:space="preserve">was caused by natural selection. Applying similar strategies to species in which both sexes recombine, including house mice, would be a logical next step to understanding the sex-specific evolution of recombination rate.</w:t>
      </w:r>
    </w:p>
    <w:p>
      <w:pPr>
        <w:pStyle w:val="BodyText"/>
      </w:pPr>
      <w:r>
        <w:t xml:space="preserve">Population genetic models have been built to explain sexual dimorphism in the number and placement of crossovers, which is a common phenomenon</w:t>
      </w:r>
      <w:r>
        <w:t xml:space="preserve"> </w:t>
      </w:r>
      <w:r>
        <w:t xml:space="preserve">(Brandvain and Coop, 2012; 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w:t>
      </w:r>
      <w:r>
        <w:t xml:space="preserve"> </w:t>
      </w:r>
      <w:r>
        <w:t xml:space="preserve">(Dumont and Desai, 2012; Lane and Kauppi, 2019; Subramanian and Hochwagen, 2014; VanVeen and Hawley, 2003)</w:t>
      </w:r>
      <w:r>
        <w:t xml:space="preserve">. 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cohesion holding homologs together</w:t>
      </w:r>
      <w:r>
        <w:t xml:space="preserve"> </w:t>
      </w:r>
      <w:r>
        <w:t xml:space="preserve">(Lane and Kauppi, 2019)</w:t>
      </w:r>
      <w:r>
        <w:t xml:space="preserve">. Hence, selection seems likely to favor mutations that optimize the process of bi-orientation and chromosome separation, thereby prohibiting the SAC from delaying the cell cycle or triggering apoptosis. 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larger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pPr>
        <w:pStyle w:val="BodyText"/>
      </w:pP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 Faster spermatogenesis may select for synchronization of the separation across all homologs within the cell</w:t>
      </w:r>
      <w:r>
        <w:t xml:space="preserve"> </w:t>
      </w:r>
      <w:r>
        <w:t xml:space="preserve">(Kudo et al., 2009)</w:t>
      </w:r>
      <w:r>
        <w:t xml:space="preserve">, whereas in oogenesis, the slower cell cycle and multiple arrest stages may require chromosome structures with greater stability on the MI spindle, especially for those organisms that undergo dictyate arrest</w:t>
      </w:r>
      <w:r>
        <w:t xml:space="preserve"> </w:t>
      </w:r>
      <w:r>
        <w:t xml:space="preserve">(Lee, 2019)</w:t>
      </w:r>
      <w:r>
        <w:t xml:space="preserve">.</w:t>
      </w:r>
    </w:p>
    <w:p>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w:t>
      </w:r>
      <w:r>
        <w:t xml:space="preserve"> </w:t>
      </w:r>
      <w:r>
        <w:t xml:space="preserve">(Goldstein et al., 1993)</w:t>
      </w:r>
      <w:r>
        <w:t xml:space="preserve">.</w:t>
      </w:r>
    </w:p>
    <w:p>
      <w:pPr>
        <w:pStyle w:val="BodyText"/>
      </w:pP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r>
        <w:t xml:space="preserve">Ma et al. (2015)</w:t>
      </w:r>
      <w:r>
        <w:t xml:space="preserve">) and differences between wild and captive white-footed mice</w:t>
      </w:r>
      <w:r>
        <w:t xml:space="preserve"> </w:t>
      </w:r>
      <w:r>
        <w:t xml:space="preserve">(Peterson et al., 2019)</w:t>
      </w:r>
      <w:r>
        <w:t xml:space="preserve">. In contrast, mammalian species with stronger interference tend to exhibit lower genome-wide recombination rates</w:t>
      </w:r>
      <w:r>
        <w:t xml:space="preserve"> </w:t>
      </w:r>
      <w:r>
        <w:t xml:space="preserve">(Otto and Payseur, 2019; Segura et al., 2013)</w:t>
      </w:r>
      <w:r>
        <w:t xml:space="preserve">. Collectively, these patterns suggest that inferences about the evolutionary dynamics of interference depend on the timescale under consideration.</w:t>
      </w:r>
    </w:p>
    <w:p>
      <w:pPr>
        <w:pStyle w:val="BodyText"/>
      </w:pPr>
      <w:r>
        <w:t xml:space="preserve">Our findings further reveal that evolution of the genome-wide recombination rate does not require major changes in the degree of chromatin compaction. Female house mice consistently show longer SCs, even in strains with more recombination in males. Studies in mice</w:t>
      </w:r>
      <w:r>
        <w:t xml:space="preserve"> </w:t>
      </w:r>
      <w:r>
        <w:t xml:space="preserve">(Lynn et al., 2002; Petkov et al., 2007)</w:t>
      </w:r>
      <w:r>
        <w:t xml:space="preserve"> </w:t>
      </w:r>
      <w:r>
        <w:t xml:space="preserve">and humans</w:t>
      </w:r>
      <w:r>
        <w:t xml:space="preserve"> </w:t>
      </w:r>
      <w:r>
        <w:t xml:space="preserve">(Gruhn et al., 2013; Tease and Hulten, 2004)</w:t>
      </w:r>
      <w:r>
        <w:t xml:space="preserve"> </w:t>
      </w:r>
      <w:r>
        <w:t xml:space="preserve">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w:t>
      </w:r>
      <w:r>
        <w:t xml:space="preserve"> </w:t>
      </w:r>
      <w:r>
        <w:t xml:space="preserve">(Haenel et al., 2018; Petkov et al., 2007)</w:t>
      </w:r>
      <w:r>
        <w:t xml:space="preserve">. A cellular model designed to explain interference attributes sexual dimorphism in chromatin structure to greater cell volumes and oscillatory movements of telomeres and kinetochores in oocytes</w:t>
      </w:r>
      <w:r>
        <w:t xml:space="preserve"> </w:t>
      </w:r>
      <w:r>
        <w:t xml:space="preserve">(Hultén, 2011)</w:t>
      </w:r>
      <w:r>
        <w:t xml:space="preserve">. Recent work in mice connects the sparser recombination landscape in females to sex differences in the crossover maturation efficiency</w:t>
      </w:r>
      <w:r>
        <w:t xml:space="preserve"> </w:t>
      </w:r>
      <w:r>
        <w:t xml:space="preserve">(Wang et al., 2017)</w:t>
      </w:r>
      <w:r>
        <w:t xml:space="preserve">.</w:t>
      </w:r>
    </w:p>
    <w:p>
      <w:pPr>
        <w:pStyle w:val="BodyText"/>
      </w:pPr>
      <w:r>
        <w:t xml:space="preserve">Our conclusions are accompanied by several caveats. First, MLH1 foci only identify interfering crossovers</w:t>
      </w:r>
      <w:r>
        <w:t xml:space="preserve"> </w:t>
      </w:r>
      <w:r>
        <w:t xml:space="preserve">(Holloway et al., 2008)</w:t>
      </w:r>
      <w:r>
        <w:t xml:space="preserve">. Although most crossovers belong to this class</w:t>
      </w:r>
      <w:r>
        <w:t xml:space="preserve"> </w:t>
      </w:r>
      <w:r>
        <w:t xml:space="preserve">(Holloway et al., 2008)</w:t>
      </w:r>
      <w:r>
        <w:t xml:space="preserve">, our approach likely underestimated genome-wide recombination rates. Evolution of the number of non-interfering crossovers is a topic worth examining. A second limitation is that our investigation of crossover locations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pPr>
        <w:pStyle w:val="BodyText"/>
      </w:pPr>
      <w:r>
        <w:t xml:space="preserve">While 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r>
        <w:pict>
          <v:rect style="width:0;height:1.5pt" o:hralign="center" o:hrstd="t" o:hr="t"/>
        </w:pict>
      </w:r>
    </w:p>
    <w:p>
      <w:pPr>
        <w:pStyle w:val="Heading1"/>
      </w:pPr>
      <w:bookmarkStart w:id="28" w:name="materials-and-methods"/>
      <w:r>
        <w:t xml:space="preserve">MATERIALS AND METHODS</w:t>
      </w:r>
      <w:bookmarkEnd w:id="28"/>
    </w:p>
    <w:p>
      <w:pPr>
        <w:pStyle w:val="Heading3"/>
      </w:pPr>
      <w:bookmarkStart w:id="29" w:name="mice"/>
      <w:r>
        <w:t xml:space="preserve">Mice</w:t>
      </w:r>
      <w:bookmarkEnd w:id="29"/>
    </w:p>
    <w:p>
      <w:pPr>
        <w:pStyle w:val="FirstParagraph"/>
      </w:pPr>
      <w:r>
        <w:t xml:space="preserve"> </w:t>
      </w:r>
      <w:r>
        <w:t xml:space="preserve">We used a panel of wild-derived inbred strains of house mice (</w:t>
      </w:r>
      <w:r>
        <w:rPr>
          <w:i/>
        </w:rPr>
        <w:t xml:space="preserve">Mus musculus</w:t>
      </w:r>
      <w:r>
        <w:t xml:space="preserve">) and related murid species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spicilegus</w:t>
      </w:r>
      <w:r>
        <w:t xml:space="preserve">,</w:t>
      </w:r>
      <w:r>
        <w:t xml:space="preserve"> </w:t>
      </w:r>
      <w:r>
        <w:rPr>
          <w:i/>
        </w:rPr>
        <w:t xml:space="preserve">M. spretus</w:t>
      </w:r>
      <w:r>
        <w:t xml:space="preserve"> </w:t>
      </w:r>
      <w:r>
        <w:t xml:space="preserve">and</w:t>
      </w:r>
      <w:r>
        <w:t xml:space="preserve"> </w:t>
      </w:r>
      <w:r>
        <w:rPr>
          <w:i/>
        </w:rPr>
        <w:t xml:space="preserve">M. caroli</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17 generations of brother-sister mating. All mice were provided with ad libitum food and water. Procedures followed protocols approved by IACUC.</w:t>
      </w:r>
    </w:p>
    <w:p>
      <w:pPr>
        <w:pStyle w:val="Heading3"/>
      </w:pPr>
      <w:bookmarkStart w:id="30" w:name="X8f47e61d9abd1c9f775d406441822a9ab99126d"/>
      <w:r>
        <w:t xml:space="preserve">Tissue Collection and Immunohistochemistry</w:t>
      </w:r>
      <w:bookmarkEnd w:id="30"/>
    </w:p>
    <w:p>
      <w:pPr>
        <w:pStyle w:val="FirstParagraph"/>
      </w:pPr>
      <w:r>
        <w:t xml:space="preserve">The same dry-down spread technique was applied to both spermatocytes and oocytes, following</w:t>
      </w:r>
      <w:r>
        <w:t xml:space="preserve"> </w:t>
      </w:r>
      <w:r>
        <w:t xml:space="preserve">(Peters et al., 1997)</w:t>
      </w:r>
      <w:r>
        <w:t xml:space="preserve">, with adjustment for volumes. Spermatocyte spreads were collected and prepared as described in</w:t>
      </w:r>
      <w:r>
        <w:t xml:space="preserve"> </w:t>
      </w:r>
      <w:r>
        <w:t xml:space="preserve">(Peterson et al., 2019)</w:t>
      </w:r>
      <w:r>
        <w:t xml:space="preserve">. The majority of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31" w:name="image-processing"/>
      <w:r>
        <w:t xml:space="preserve">Image Processing</w:t>
      </w:r>
      <w:bookmarkEnd w:id="31"/>
    </w:p>
    <w:p>
      <w:pPr>
        <w:pStyle w:val="FirstParagraph"/>
      </w:pPr>
      <w:r>
        <w:t xml:space="preserve">Images were captured using a Zeiss Axioplan 2 microscope with AxioLab camera and AxioVision software (Zeiss, Cambridge, UK). Preprocessing, including cropping, noise reduction, and histogram adjustments, was performed using Photoshop (v13.0). Image file names were anonymized before manual scoring of MLH1 foci or DMC1 foci using Photoshop.</w:t>
      </w:r>
    </w:p>
    <w:p>
      <w:pPr>
        <w:pStyle w:val="Heading3"/>
      </w:pPr>
      <w:bookmarkStart w:id="32" w:name="analysis"/>
      <w:r>
        <w:t xml:space="preserve">Analysis</w:t>
      </w:r>
      <w:bookmarkEnd w:id="32"/>
    </w:p>
    <w:p>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r>
        <w:rPr>
          <w:i/>
        </w:rPr>
        <w:t xml:space="preserve">molossinus</w:t>
      </w:r>
      <w:r>
        <w:rPr>
          <w:vertAlign w:val="superscript"/>
          <w:i/>
        </w:rPr>
        <w:t xml:space="preserve">MSM</w:t>
      </w:r>
      <w:r>
        <w:t xml:space="preserve">,</w:t>
      </w:r>
      <w:r>
        <w:t xml:space="preserve"> </w:t>
      </w:r>
      <w:r>
        <w:rPr>
          <w:i/>
        </w:rPr>
        <w:t xml:space="preserve">musculus</w:t>
      </w:r>
      <w:r>
        <w:rPr>
          <w:vertAlign w:val="superscript"/>
          <w:i/>
        </w:rPr>
        <w:t xml:space="preserve">PWD</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were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et al.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 Total SC length per cell was quantified from pachytene cell images (</w:t>
      </w:r>
      <w:r>
        <w:t xml:space="preserve">Wang et al. (2019)</w:t>
      </w:r>
      <w:r>
        <w:t xml:space="preserve">).</w:t>
      </w:r>
    </w:p>
    <w:p>
      <w:pPr>
        <w:pStyle w:val="BodyText"/>
      </w:pPr>
      <w:r>
        <w:t xml:space="preserve">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w:t>
      </w:r>
      <w:r>
        <w:t xml:space="preserve">Peterson et al. (2019)</w:t>
      </w:r>
      <w:r>
        <w:t xml:space="preserve">). The DNA CrossOver algorithm (</w:t>
      </w:r>
      <w:r>
        <w:t xml:space="preserve">Peterson et al. (2019)</w:t>
      </w:r>
      <w:r>
        <w:t xml:space="preserve">)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 xml:space="preserve">molossinus</w:t>
      </w:r>
      <w:r>
        <w:rPr>
          <w:vertAlign w:val="superscript"/>
          <w:i/>
        </w:rPr>
        <w:t xml:space="preserve">MSM</w:t>
      </w:r>
      <w:r>
        <w:t xml:space="preserve"> </w:t>
      </w:r>
      <w:r>
        <w:t xml:space="preserve">male) to 0.72 (</w:t>
      </w:r>
      <w:r>
        <w:rPr>
          <w:i/>
        </w:rPr>
        <w:t xml:space="preserve">musculus</w:t>
      </w:r>
      <w:r>
        <w:rPr>
          <w:vertAlign w:val="superscript"/>
          <w:i/>
        </w:rPr>
        <w:t xml:space="preserve">KAZ</w:t>
      </w:r>
      <w:r>
        <w:t xml:space="preserve"> </w:t>
      </w:r>
      <w:r>
        <w:t xml:space="preserve">female). From the total set of pachytene cell images, 10,213 bivalent objects were isolated by the algorithm. Following a manual curation, 9,569 single-bivalent observations remained. The accuracy of the algorithm is high compared to hand measures after this curation step</w:t>
      </w:r>
      <w:r>
        <w:t xml:space="preserve"> </w:t>
      </w:r>
      <w:r>
        <w:t xml:space="preserve">(Peterson et al., 2019)</w:t>
      </w:r>
      <w:r>
        <w:t xml:space="preserve">. The curated single bivalent data supplements our cell-wide MLH1 count data with MLH1 foci counts for single bivalents. Proportions of bivalents with the same number of MLH1 foci were compared across strains using a chi-square 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A total of 703 long bivalents were isolated from 102 oocytes and 42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w:t>
      </w:r>
      <w:r>
        <w:rPr>
          <w:vertAlign w:val="subscript"/>
        </w:rPr>
        <w:t xml:space="preserve">raw</w:t>
      </w:r>
      <w:r>
        <w:t xml:space="preserve"> </w:t>
      </w:r>
      <w:r>
        <w:t xml:space="preserve">by SC length on a per-bivalent basis.</w:t>
      </w:r>
    </w:p>
    <w:p>
      <w:pPr>
        <w:pStyle w:val="BodyText"/>
      </w:pPr>
      <w:r>
        <w:t xml:space="preserve">We used a series of statistical models to interpret patterns of variation in the recombination traits we measured (Table 2). We used mouse average as the dependent variable in all analyses. We first constructed a linear mixed model (M1) using lmer() from the lmer4 package</w:t>
      </w:r>
      <w:r>
        <w:t xml:space="preserve"> </w:t>
      </w:r>
      <w:r>
        <w:t xml:space="preserve">(Bates et al., 2015)</w:t>
      </w:r>
      <w:r>
        <w:t xml:space="preserve"> </w:t>
      </w:r>
      <w:r>
        <w:t xml:space="preserve">in R (v3.5.2)</w:t>
      </w:r>
      <w:r>
        <w:t xml:space="preserve"> </w:t>
      </w:r>
      <w:r>
        <w:t xml:space="preserve">(Team, 2015)</w:t>
      </w:r>
      <w:r>
        <w:t xml:space="preserve">. In this model, strain was coded as a random effect, with significance evaluated using a likelihood ratio test (using exactRLRT() from RLRsim</w:t>
      </w:r>
      <w:r>
        <w:t xml:space="preserve"> </w:t>
      </w:r>
      <w:r>
        <w:t xml:space="preserve">(Scheipl et al., 2008)</w:t>
      </w:r>
      <w:r>
        <w:t xml:space="preserve">). Subspecies, sex, and their interaction were coded as fixed effects, with significance evaluated using a chi-square test comparing the full and reduced models (drop1() and anova())</w:t>
      </w:r>
      <w:r>
        <w:t xml:space="preserve"> </w:t>
      </w:r>
      <w:r>
        <w:t xml:space="preserve">(Bates et al., 2015)</w:t>
      </w:r>
      <w:r>
        <w:t xml:space="preserve">. The hierarchal nature of the data, meant that nesting of levels across observations was implicit (ie. mouse within strain, within subspecies) and not explicitly coded.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linear models containing only fixed effects (M2-M5) (Table 2) were used to further investigate results obtained from model M1.</w:t>
      </w:r>
    </w:p>
    <w:p>
      <w:pPr>
        <w:pStyle w:val="Heading1"/>
      </w:pPr>
      <w:bookmarkStart w:id="33" w:name="acknowledgements"/>
      <w:r>
        <w:t xml:space="preserve">Acknowledgements</w:t>
      </w:r>
      <w:bookmarkEnd w:id="33"/>
    </w:p>
    <w:p>
      <w:pPr>
        <w:pStyle w:val="Heading1"/>
      </w:pPr>
      <w:bookmarkStart w:id="34" w:name="competing-interests"/>
      <w:r>
        <w:t xml:space="preserve">Competing interests</w:t>
      </w:r>
      <w:bookmarkEnd w:id="34"/>
    </w:p>
    <w:p>
      <w:pPr>
        <w:pStyle w:val="Heading1"/>
      </w:pPr>
      <w:bookmarkStart w:id="35" w:name="references"/>
      <w:r>
        <w:t xml:space="preserve">REFERENCES</w:t>
      </w:r>
      <w:bookmarkEnd w:id="35"/>
    </w:p>
    <w:bookmarkStart w:id="98" w:name="refs"/>
    <w:bookmarkStart w:id="36" w:name="ref-anderson1999"/>
    <w:p>
      <w:pPr>
        <w:pStyle w:val="Bibliography"/>
      </w:pPr>
      <w:r>
        <w:t xml:space="preserve">Anderson LK, Reeves A, Webb LM, Ashley T. 1999. Distribution of crossing over on mouse synaptonemal complexes using immunofluorescent localization of mlh1 protein.</w:t>
      </w:r>
      <w:r>
        <w:t xml:space="preserve"> </w:t>
      </w:r>
      <w:r>
        <w:rPr>
          <w:i/>
        </w:rPr>
        <w:t xml:space="preserve">Genetics</w:t>
      </w:r>
      <w:r>
        <w:t xml:space="preserve"> </w:t>
      </w:r>
      <w:r>
        <w:rPr>
          <w:b/>
        </w:rPr>
        <w:t xml:space="preserve">151</w:t>
      </w:r>
      <w:r>
        <w:t xml:space="preserve">:1569–1579.</w:t>
      </w:r>
    </w:p>
    <w:bookmarkEnd w:id="36"/>
    <w:bookmarkStart w:id="37" w:name="ref-baier2014"/>
    <w:p>
      <w:pPr>
        <w:pStyle w:val="Bibliography"/>
      </w:pPr>
      <w:r>
        <w:t xml:space="preserve">Baier B, Hunt P, Broman KW, Hassold T. 2014. Variation in genome-wide levels of meiotic recombination is established at the onset of prophase in mammalian males.</w:t>
      </w:r>
      <w:r>
        <w:t xml:space="preserve"> </w:t>
      </w:r>
      <w:r>
        <w:rPr>
          <w:i/>
        </w:rPr>
        <w:t xml:space="preserve">PLoS genetics</w:t>
      </w:r>
      <w:r>
        <w:t xml:space="preserve"> </w:t>
      </w:r>
      <w:r>
        <w:rPr>
          <w:b/>
        </w:rPr>
        <w:t xml:space="preserve">10</w:t>
      </w:r>
      <w:r>
        <w:t xml:space="preserve">.</w:t>
      </w:r>
    </w:p>
    <w:bookmarkEnd w:id="37"/>
    <w:bookmarkStart w:id="39" w:name="ref-lme4"/>
    <w:p>
      <w:pPr>
        <w:pStyle w:val="Bibliography"/>
      </w:pPr>
      <w:r>
        <w:t xml:space="preserve">Bates D, Mächler M, Bolker B, Walker S. 2015. Fitting linear mixed-effects models using lme4.</w:t>
      </w:r>
      <w:r>
        <w:t xml:space="preserve"> </w:t>
      </w:r>
      <w:r>
        <w:rPr>
          <w:i/>
        </w:rPr>
        <w:t xml:space="preserve">Journal of Statistical Software</w:t>
      </w:r>
      <w:r>
        <w:t xml:space="preserve"> </w:t>
      </w:r>
      <w:r>
        <w:rPr>
          <w:b/>
        </w:rPr>
        <w:t xml:space="preserve">67</w:t>
      </w:r>
      <w:r>
        <w:t xml:space="preserve">:1–48. doi:</w:t>
      </w:r>
      <w:hyperlink r:id="rId38">
        <w:r>
          <w:rPr>
            <w:rStyle w:val="Hyperlink"/>
          </w:rPr>
          <w:t xml:space="preserve">10.18637/jss.v067.i01</w:t>
        </w:r>
      </w:hyperlink>
    </w:p>
    <w:bookmarkEnd w:id="39"/>
    <w:bookmarkStart w:id="40" w:name="ref-baudat2013"/>
    <w:p>
      <w:pPr>
        <w:pStyle w:val="Bibliography"/>
      </w:pPr>
      <w:r>
        <w:t xml:space="preserve">Baudat F, Imai Y, De Massy B. 2013. Meiotic recombination in mammals: Localization and regulation.</w:t>
      </w:r>
      <w:r>
        <w:t xml:space="preserve"> </w:t>
      </w:r>
      <w:r>
        <w:rPr>
          <w:i/>
        </w:rPr>
        <w:t xml:space="preserve">Nature Reviews Genetics</w:t>
      </w:r>
      <w:r>
        <w:t xml:space="preserve"> </w:t>
      </w:r>
      <w:r>
        <w:rPr>
          <w:b/>
        </w:rPr>
        <w:t xml:space="preserve">14</w:t>
      </w:r>
      <w:r>
        <w:t xml:space="preserve">:794–806.</w:t>
      </w:r>
    </w:p>
    <w:bookmarkEnd w:id="40"/>
    <w:bookmarkStart w:id="41" w:name="ref-begun1992"/>
    <w:p>
      <w:pPr>
        <w:pStyle w:val="Bibliography"/>
      </w:pPr>
      <w:r>
        <w:t xml:space="preserve">Begun DJ, Aquadro CF. 1992. Levels of naturally occurring dna polymorphism correlate with recombination rates in d. Melanogaster.</w:t>
      </w:r>
      <w:r>
        <w:t xml:space="preserve"> </w:t>
      </w:r>
      <w:r>
        <w:rPr>
          <w:i/>
        </w:rPr>
        <w:t xml:space="preserve">Nature</w:t>
      </w:r>
      <w:r>
        <w:t xml:space="preserve"> </w:t>
      </w:r>
      <w:r>
        <w:rPr>
          <w:b/>
        </w:rPr>
        <w:t xml:space="preserve">356</w:t>
      </w:r>
      <w:r>
        <w:t xml:space="preserve">:519–520.</w:t>
      </w:r>
    </w:p>
    <w:bookmarkEnd w:id="41"/>
    <w:bookmarkStart w:id="42" w:name="ref-brandvain2012scrambling"/>
    <w:p>
      <w:pPr>
        <w:pStyle w:val="Bibliography"/>
      </w:pPr>
      <w:r>
        <w:t xml:space="preserve">Brandvain Y, Coop G. 2012. Scrambling eggs: Meiotic drive and the evolution of female recombination rates.</w:t>
      </w:r>
      <w:r>
        <w:t xml:space="preserve"> </w:t>
      </w:r>
      <w:r>
        <w:rPr>
          <w:i/>
        </w:rPr>
        <w:t xml:space="preserve">Genetics</w:t>
      </w:r>
      <w:r>
        <w:t xml:space="preserve"> </w:t>
      </w:r>
      <w:r>
        <w:rPr>
          <w:b/>
        </w:rPr>
        <w:t xml:space="preserve">190</w:t>
      </w:r>
      <w:r>
        <w:t xml:space="preserve">:709–723.</w:t>
      </w:r>
    </w:p>
    <w:bookmarkEnd w:id="42"/>
    <w:bookmarkStart w:id="43" w:name="ref-CahoonLibuda2019"/>
    <w:p>
      <w:pPr>
        <w:pStyle w:val="Bibliography"/>
      </w:pPr>
      <w:r>
        <w:t xml:space="preserve">Cahoon CK, Libuda DE. 2019. Leagues of their own: Sexually dimorphic features of meiotic prophase i.</w:t>
      </w:r>
      <w:r>
        <w:t xml:space="preserve"> </w:t>
      </w:r>
      <w:r>
        <w:rPr>
          <w:i/>
        </w:rPr>
        <w:t xml:space="preserve">Chromosoma</w:t>
      </w:r>
      <w:r>
        <w:t xml:space="preserve"> </w:t>
      </w:r>
      <w:r>
        <w:t xml:space="preserve">1–16.</w:t>
      </w:r>
    </w:p>
    <w:bookmarkEnd w:id="43"/>
    <w:bookmarkStart w:id="44" w:name="ref-charlesworth1993"/>
    <w:p>
      <w:pPr>
        <w:pStyle w:val="Bibliography"/>
      </w:pPr>
      <w:r>
        <w:t xml:space="preserve">Charlesworth B, Morgan M, Charlesworth D. 1993. The effect of deleterious mutations on neutral molecular variation.</w:t>
      </w:r>
      <w:r>
        <w:t xml:space="preserve"> </w:t>
      </w:r>
      <w:r>
        <w:rPr>
          <w:i/>
        </w:rPr>
        <w:t xml:space="preserve">Genetics</w:t>
      </w:r>
      <w:r>
        <w:t xml:space="preserve"> </w:t>
      </w:r>
      <w:r>
        <w:rPr>
          <w:b/>
        </w:rPr>
        <w:t xml:space="preserve">134</w:t>
      </w:r>
      <w:r>
        <w:t xml:space="preserve">:1289–1303.</w:t>
      </w:r>
    </w:p>
    <w:bookmarkEnd w:id="44"/>
    <w:bookmarkStart w:id="45" w:name="ref-DapperPayseur2017"/>
    <w:p>
      <w:pPr>
        <w:pStyle w:val="Bibliography"/>
      </w:pPr>
      <w:r>
        <w:t xml:space="preserve">Dapper AL, Payseur BA. 2017. Connecting theory and data to understand recombination rate evolution.</w:t>
      </w:r>
      <w:r>
        <w:t xml:space="preserve"> </w:t>
      </w:r>
      <w:r>
        <w:rPr>
          <w:i/>
        </w:rPr>
        <w:t xml:space="preserve">Philosophical Transactions of the Royal Society B: Biological Sciences</w:t>
      </w:r>
      <w:r>
        <w:t xml:space="preserve"> </w:t>
      </w:r>
      <w:r>
        <w:rPr>
          <w:b/>
        </w:rPr>
        <w:t xml:space="preserve">372</w:t>
      </w:r>
      <w:r>
        <w:t xml:space="preserve">:20160469.</w:t>
      </w:r>
    </w:p>
    <w:bookmarkEnd w:id="45"/>
    <w:bookmarkStart w:id="46" w:name="ref-dumont2011"/>
    <w:p>
      <w:pPr>
        <w:pStyle w:val="Bibliography"/>
      </w:pPr>
      <w:r>
        <w:t xml:space="preserve">Dumont BL, Payseur BA. 2011. Genetic analysis of genome-scale recombination rate evolution in house mice.</w:t>
      </w:r>
      <w:r>
        <w:t xml:space="preserve"> </w:t>
      </w:r>
      <w:r>
        <w:rPr>
          <w:i/>
        </w:rPr>
        <w:t xml:space="preserve">PLoS genetics</w:t>
      </w:r>
      <w:r>
        <w:t xml:space="preserve"> </w:t>
      </w:r>
      <w:r>
        <w:rPr>
          <w:b/>
        </w:rPr>
        <w:t xml:space="preserve">7</w:t>
      </w:r>
      <w:r>
        <w:t xml:space="preserve">.</w:t>
      </w:r>
    </w:p>
    <w:bookmarkEnd w:id="46"/>
    <w:bookmarkStart w:id="47" w:name="ref-dumontDesai2012"/>
    <w:p>
      <w:pPr>
        <w:pStyle w:val="Bibliography"/>
      </w:pPr>
      <w:r>
        <w:t xml:space="preserve">Dumont J, Desai A. 2012. Acentrosomal spindle assembly and chromosome segregation during oocyte meiosis.</w:t>
      </w:r>
      <w:r>
        <w:t xml:space="preserve"> </w:t>
      </w:r>
      <w:r>
        <w:rPr>
          <w:i/>
        </w:rPr>
        <w:t xml:space="preserve">Trends in cell biology</w:t>
      </w:r>
      <w:r>
        <w:t xml:space="preserve"> </w:t>
      </w:r>
      <w:r>
        <w:rPr>
          <w:b/>
        </w:rPr>
        <w:t xml:space="preserve">22</w:t>
      </w:r>
      <w:r>
        <w:t xml:space="preserve">:241–249.</w:t>
      </w:r>
    </w:p>
    <w:bookmarkEnd w:id="47"/>
    <w:bookmarkStart w:id="48" w:name="ref-fledel2011"/>
    <w:p>
      <w:pPr>
        <w:pStyle w:val="Bibliography"/>
      </w:pPr>
      <w:r>
        <w:t xml:space="preserve">Fledel-Alon A, Leffler EM, Guan Y, Stephens M, Coop G, Przeworski M. 2011. Variation in human recombination rates and its genetic determinants.</w:t>
      </w:r>
      <w:r>
        <w:t xml:space="preserve"> </w:t>
      </w:r>
      <w:r>
        <w:rPr>
          <w:i/>
        </w:rPr>
        <w:t xml:space="preserve">PloS one</w:t>
      </w:r>
      <w:r>
        <w:t xml:space="preserve"> </w:t>
      </w:r>
      <w:r>
        <w:rPr>
          <w:b/>
        </w:rPr>
        <w:t xml:space="preserve">6</w:t>
      </w:r>
      <w:r>
        <w:t xml:space="preserve">.</w:t>
      </w:r>
    </w:p>
    <w:bookmarkEnd w:id="48"/>
    <w:bookmarkStart w:id="49" w:name="ref-geraldes2008"/>
    <w:p>
      <w:pPr>
        <w:pStyle w:val="Bibliography"/>
      </w:pPr>
      <w:r>
        <w:t xml:space="preserve">Geraldes A, Basset P, Gibson B, Smith KL, Harr B, YU H-T, Bulatova N, Ziv Y, Nachman MW. 2008. Inferring the history of speciation in house mice from autosomal, x-linked, y-linked and mitochondrial genes.</w:t>
      </w:r>
      <w:r>
        <w:t xml:space="preserve"> </w:t>
      </w:r>
      <w:r>
        <w:rPr>
          <w:i/>
        </w:rPr>
        <w:t xml:space="preserve">Molecular ecology</w:t>
      </w:r>
      <w:r>
        <w:t xml:space="preserve"> </w:t>
      </w:r>
      <w:r>
        <w:rPr>
          <w:b/>
        </w:rPr>
        <w:t xml:space="preserve">17</w:t>
      </w:r>
      <w:r>
        <w:t xml:space="preserve">:5349–5363.</w:t>
      </w:r>
    </w:p>
    <w:bookmarkEnd w:id="49"/>
    <w:bookmarkStart w:id="50" w:name="ref-geraldes2011"/>
    <w:p>
      <w:pPr>
        <w:pStyle w:val="Bibliography"/>
      </w:pPr>
      <w:r>
        <w:t xml:space="preserve">Geraldes A, Basset P, Smith KL, Nachman MW. 2011. Higher differentiation among subspecies of the house mouse (mus musculus) in genomic regions with low recombination.</w:t>
      </w:r>
      <w:r>
        <w:t xml:space="preserve"> </w:t>
      </w:r>
      <w:r>
        <w:rPr>
          <w:i/>
        </w:rPr>
        <w:t xml:space="preserve">Molecular ecology</w:t>
      </w:r>
      <w:r>
        <w:t xml:space="preserve"> </w:t>
      </w:r>
      <w:r>
        <w:rPr>
          <w:b/>
        </w:rPr>
        <w:t xml:space="preserve">20</w:t>
      </w:r>
      <w:r>
        <w:t xml:space="preserve">:4722–4736.</w:t>
      </w:r>
    </w:p>
    <w:bookmarkEnd w:id="50"/>
    <w:bookmarkStart w:id="51" w:name="ref-goldstein1993"/>
    <w:p>
      <w:pPr>
        <w:pStyle w:val="Bibliography"/>
      </w:pPr>
      <w:r>
        <w:t xml:space="preserve">Goldstein DB, Bergman A, Feldman MW. 1993. The evolution of interference: Reduction of recombination among three loci.</w:t>
      </w:r>
      <w:r>
        <w:t xml:space="preserve"> </w:t>
      </w:r>
      <w:r>
        <w:rPr>
          <w:i/>
        </w:rPr>
        <w:t xml:space="preserve">Theoretical population biology</w:t>
      </w:r>
      <w:r>
        <w:t xml:space="preserve"> </w:t>
      </w:r>
      <w:r>
        <w:rPr>
          <w:b/>
        </w:rPr>
        <w:t xml:space="preserve">44</w:t>
      </w:r>
      <w:r>
        <w:t xml:space="preserve">:246–259.</w:t>
      </w:r>
    </w:p>
    <w:bookmarkEnd w:id="51"/>
    <w:bookmarkStart w:id="52" w:name="ref-gorelick2017"/>
    <w:p>
      <w:pPr>
        <w:pStyle w:val="Bibliography"/>
      </w:pPr>
      <w:r>
        <w:t xml:space="preserve">Gorelick R, Carpinone J, Derraugh LJ. 2017. No universal differences between female and male eukaryotes: Anisogamy and asymmetrical female meiosis.</w:t>
      </w:r>
      <w:r>
        <w:t xml:space="preserve"> </w:t>
      </w:r>
      <w:r>
        <w:rPr>
          <w:i/>
        </w:rPr>
        <w:t xml:space="preserve">Biological Journal of the Linnean Society</w:t>
      </w:r>
      <w:r>
        <w:t xml:space="preserve"> </w:t>
      </w:r>
      <w:r>
        <w:rPr>
          <w:b/>
        </w:rPr>
        <w:t xml:space="preserve">120</w:t>
      </w:r>
      <w:r>
        <w:t xml:space="preserve">:1–21.</w:t>
      </w:r>
    </w:p>
    <w:bookmarkEnd w:id="52"/>
    <w:bookmarkStart w:id="53" w:name="ref-gruhn2013"/>
    <w:p>
      <w:pPr>
        <w:pStyle w:val="Bibliography"/>
      </w:pPr>
      <w:r>
        <w:t xml:space="preserve">Gruhn JR, Rubio C, Broman KW, Hunt PA, Hassold T. 2013. Cytological studies of human meiosis: Sex-specific differences in recombination originate at, or prior to, establishment of double-strand breaks.</w:t>
      </w:r>
      <w:r>
        <w:t xml:space="preserve"> </w:t>
      </w:r>
      <w:r>
        <w:rPr>
          <w:i/>
        </w:rPr>
        <w:t xml:space="preserve">PloS one</w:t>
      </w:r>
      <w:r>
        <w:t xml:space="preserve"> </w:t>
      </w:r>
      <w:r>
        <w:rPr>
          <w:b/>
        </w:rPr>
        <w:t xml:space="preserve">8</w:t>
      </w:r>
      <w:r>
        <w:t xml:space="preserve">.</w:t>
      </w:r>
    </w:p>
    <w:bookmarkEnd w:id="53"/>
    <w:bookmarkStart w:id="54" w:name="ref-haenel2018"/>
    <w:p>
      <w:pPr>
        <w:pStyle w:val="Bibliography"/>
      </w:pPr>
      <w:r>
        <w:t xml:space="preserve">Haenel Q, Laurentino TG, Roesti M, Berner D. 2018. Meta-analysis of chromosome-scale crossover rate variation in eukaryotes and its significance to evolutionary genomics.</w:t>
      </w:r>
      <w:r>
        <w:t xml:space="preserve"> </w:t>
      </w:r>
      <w:r>
        <w:rPr>
          <w:i/>
        </w:rPr>
        <w:t xml:space="preserve">Molecular ecology</w:t>
      </w:r>
      <w:r>
        <w:t xml:space="preserve"> </w:t>
      </w:r>
      <w:r>
        <w:rPr>
          <w:b/>
        </w:rPr>
        <w:t xml:space="preserve">27</w:t>
      </w:r>
      <w:r>
        <w:t xml:space="preserve">:2477–2497.</w:t>
      </w:r>
    </w:p>
    <w:bookmarkEnd w:id="54"/>
    <w:bookmarkStart w:id="55" w:name="ref-halldorsson2019"/>
    <w:p>
      <w:pPr>
        <w:pStyle w:val="Bibliography"/>
      </w:pPr>
      <w:r>
        <w:t xml:space="preserve">Halldorsson BV, Palsson G, Stefansson OA, Jonsson H, Hardarson MT, Eggertsson HP, Gunnarsson B, Oddsson A, Halldorsson GH, Zink F, others. 2019. Characterizing mutagenic effects of recombination through a sequence-level genetic map.</w:t>
      </w:r>
      <w:r>
        <w:t xml:space="preserve"> </w:t>
      </w:r>
      <w:r>
        <w:rPr>
          <w:i/>
        </w:rPr>
        <w:t xml:space="preserve">Science</w:t>
      </w:r>
      <w:r>
        <w:t xml:space="preserve"> </w:t>
      </w:r>
      <w:r>
        <w:rPr>
          <w:b/>
        </w:rPr>
        <w:t xml:space="preserve">363</w:t>
      </w:r>
      <w:r>
        <w:t xml:space="preserve">:eaau1043.</w:t>
      </w:r>
    </w:p>
    <w:bookmarkEnd w:id="55"/>
    <w:bookmarkStart w:id="56" w:name="ref-handel2010"/>
    <w:p>
      <w:pPr>
        <w:pStyle w:val="Bibliography"/>
      </w:pPr>
      <w:r>
        <w:t xml:space="preserve">Handel MA, Schimenti JC. 2010. Genetics of mammalian meiosis: Regulation, dynamics and impact on fertility.</w:t>
      </w:r>
      <w:r>
        <w:t xml:space="preserve"> </w:t>
      </w:r>
      <w:r>
        <w:rPr>
          <w:i/>
        </w:rPr>
        <w:t xml:space="preserve">Nature Reviews Genetics</w:t>
      </w:r>
      <w:r>
        <w:t xml:space="preserve"> </w:t>
      </w:r>
      <w:r>
        <w:rPr>
          <w:b/>
        </w:rPr>
        <w:t xml:space="preserve">11</w:t>
      </w:r>
      <w:r>
        <w:t xml:space="preserve">:124–136.</w:t>
      </w:r>
    </w:p>
    <w:bookmarkEnd w:id="56"/>
    <w:bookmarkStart w:id="57" w:name="ref-holloway2008mus81"/>
    <w:p>
      <w:pPr>
        <w:pStyle w:val="Bibliography"/>
      </w:pPr>
      <w:r>
        <w:t xml:space="preserve">Holloway JK, Booth J, Edelmann W, McGowan CH, Cohen PE. 2008. MUS81 generates a subset of mlh1-mlh3–independent crossovers in mammalian meiosis.</w:t>
      </w:r>
      <w:r>
        <w:t xml:space="preserve"> </w:t>
      </w:r>
      <w:r>
        <w:rPr>
          <w:i/>
        </w:rPr>
        <w:t xml:space="preserve">PLoS genetics</w:t>
      </w:r>
      <w:r>
        <w:t xml:space="preserve"> </w:t>
      </w:r>
      <w:r>
        <w:rPr>
          <w:b/>
        </w:rPr>
        <w:t xml:space="preserve">4</w:t>
      </w:r>
      <w:r>
        <w:t xml:space="preserve">.</w:t>
      </w:r>
    </w:p>
    <w:bookmarkEnd w:id="57"/>
    <w:bookmarkStart w:id="58" w:name="ref-hulten2011_COM"/>
    <w:p>
      <w:pPr>
        <w:pStyle w:val="Bibliography"/>
      </w:pPr>
      <w:r>
        <w:t xml:space="preserve">Hultén MA. 2011. On the origin of crossover interference: A chromosome oscillatory movement (com) model.</w:t>
      </w:r>
      <w:r>
        <w:t xml:space="preserve"> </w:t>
      </w:r>
      <w:r>
        <w:rPr>
          <w:i/>
        </w:rPr>
        <w:t xml:space="preserve">Molecular cytogenetics</w:t>
      </w:r>
      <w:r>
        <w:t xml:space="preserve"> </w:t>
      </w:r>
      <w:r>
        <w:rPr>
          <w:b/>
        </w:rPr>
        <w:t xml:space="preserve">4</w:t>
      </w:r>
      <w:r>
        <w:t xml:space="preserve">:10.</w:t>
      </w:r>
    </w:p>
    <w:bookmarkEnd w:id="58"/>
    <w:bookmarkStart w:id="59" w:name="ref-huxley1928"/>
    <w:p>
      <w:pPr>
        <w:pStyle w:val="Bibliography"/>
      </w:pPr>
      <w:r>
        <w:t xml:space="preserve">Huxley J. 1928. Sexual difference of linkage inGammarus chevreuxi.</w:t>
      </w:r>
      <w:r>
        <w:t xml:space="preserve"> </w:t>
      </w:r>
      <w:r>
        <w:rPr>
          <w:i/>
        </w:rPr>
        <w:t xml:space="preserve">Journal of Genetics</w:t>
      </w:r>
      <w:r>
        <w:t xml:space="preserve"> </w:t>
      </w:r>
      <w:r>
        <w:rPr>
          <w:b/>
        </w:rPr>
        <w:t xml:space="preserve">20</w:t>
      </w:r>
      <w:r>
        <w:t xml:space="preserve">:145–156.</w:t>
      </w:r>
    </w:p>
    <w:bookmarkEnd w:id="59"/>
    <w:bookmarkStart w:id="60" w:name="ref-johnston2016_soay"/>
    <w:p>
      <w:pPr>
        <w:pStyle w:val="Bibliography"/>
      </w:pPr>
      <w:r>
        <w:t xml:space="preserve">Johnston SE, Bérénos C, Slate J, Pemberton JM. 2016. Conserved genetic architecture underlying individual recombination rate variation in a wild population of soay sheep (ovis aries).</w:t>
      </w:r>
      <w:r>
        <w:t xml:space="preserve"> </w:t>
      </w:r>
      <w:r>
        <w:rPr>
          <w:i/>
        </w:rPr>
        <w:t xml:space="preserve">Genetics</w:t>
      </w:r>
      <w:r>
        <w:t xml:space="preserve"> </w:t>
      </w:r>
      <w:r>
        <w:rPr>
          <w:b/>
        </w:rPr>
        <w:t xml:space="preserve">203</w:t>
      </w:r>
      <w:r>
        <w:t xml:space="preserve">:583–598.</w:t>
      </w:r>
    </w:p>
    <w:bookmarkEnd w:id="60"/>
    <w:bookmarkStart w:id="61" w:name="ref-koehler2002"/>
    <w:p>
      <w:pPr>
        <w:pStyle w:val="Bibliography"/>
      </w:pPr>
      <w:r>
        <w:t xml:space="preserve">Koehler KE, Cherry JP, Lynn A, Hunt PA, Hassold TJ. 2002. Genetic control of mammalian meiotic recombination. I. Variation in exchange frequencies among males from inbred mouse strains.</w:t>
      </w:r>
      <w:r>
        <w:t xml:space="preserve"> </w:t>
      </w:r>
      <w:r>
        <w:rPr>
          <w:i/>
        </w:rPr>
        <w:t xml:space="preserve">Genetics</w:t>
      </w:r>
      <w:r>
        <w:t xml:space="preserve"> </w:t>
      </w:r>
      <w:r>
        <w:rPr>
          <w:b/>
        </w:rPr>
        <w:t xml:space="preserve">162</w:t>
      </w:r>
      <w:r>
        <w:t xml:space="preserve">:297–306.</w:t>
      </w:r>
    </w:p>
    <w:bookmarkEnd w:id="61"/>
    <w:bookmarkStart w:id="62" w:name="ref-Kong2004"/>
    <w:p>
      <w:pPr>
        <w:pStyle w:val="Bibliography"/>
      </w:pPr>
      <w:r>
        <w:t xml:space="preserve">Kong A, Barnard J, Gudbjartsson DF, Thorleifsson G, Jonsdottir G, Sigurdardottir S, Richardsson B, Jonsdottir J, Thorgeirsson T, Frigge ML, others. 2004. Recombination rate and reproductive success in humans.</w:t>
      </w:r>
      <w:r>
        <w:t xml:space="preserve"> </w:t>
      </w:r>
      <w:r>
        <w:rPr>
          <w:i/>
        </w:rPr>
        <w:t xml:space="preserve">Nature genetics</w:t>
      </w:r>
      <w:r>
        <w:t xml:space="preserve"> </w:t>
      </w:r>
      <w:r>
        <w:rPr>
          <w:b/>
        </w:rPr>
        <w:t xml:space="preserve">36</w:t>
      </w:r>
      <w:r>
        <w:t xml:space="preserve">:1203–1206.</w:t>
      </w:r>
    </w:p>
    <w:bookmarkEnd w:id="62"/>
    <w:bookmarkStart w:id="63" w:name="ref-Kong2014"/>
    <w:p>
      <w:pPr>
        <w:pStyle w:val="Bibliography"/>
      </w:pPr>
      <w:r>
        <w:t xml:space="preserve">Kong A, Thorleifsson G, Frigge ML, Masson G, Gudbjartsson DF, Villemoes R, Magnusdottir E, Olafsdottir SB, Thorsteinsdottir U, Stefansson K. 2014. Common and low-frequency variants associated with genome-wide recombination rate.</w:t>
      </w:r>
      <w:r>
        <w:t xml:space="preserve"> </w:t>
      </w:r>
      <w:r>
        <w:rPr>
          <w:i/>
        </w:rPr>
        <w:t xml:space="preserve">Nature genetics</w:t>
      </w:r>
      <w:r>
        <w:t xml:space="preserve"> </w:t>
      </w:r>
      <w:r>
        <w:rPr>
          <w:b/>
        </w:rPr>
        <w:t xml:space="preserve">46</w:t>
      </w:r>
      <w:r>
        <w:t xml:space="preserve">:11.</w:t>
      </w:r>
    </w:p>
    <w:bookmarkEnd w:id="63"/>
    <w:bookmarkStart w:id="64" w:name="ref-Kong2008"/>
    <w:p>
      <w:pPr>
        <w:pStyle w:val="Bibliography"/>
      </w:pPr>
      <w:r>
        <w:t xml:space="preserve">Kong A, Thorleifsson G, Stefansson H, Masson G, Helgason A, Gudbjartsson DF, Jonsdottir GM, Gudjonsson SA, Sverrisson S, Thorlacius T, others. 2008. Sequence variants in the rnf212 gene associate with genome-wide recombination rate.</w:t>
      </w:r>
      <w:r>
        <w:t xml:space="preserve"> </w:t>
      </w:r>
      <w:r>
        <w:rPr>
          <w:i/>
        </w:rPr>
        <w:t xml:space="preserve">Science</w:t>
      </w:r>
      <w:r>
        <w:t xml:space="preserve"> </w:t>
      </w:r>
      <w:r>
        <w:rPr>
          <w:b/>
        </w:rPr>
        <w:t xml:space="preserve">319</w:t>
      </w:r>
      <w:r>
        <w:t xml:space="preserve">:1398–1401.</w:t>
      </w:r>
    </w:p>
    <w:bookmarkEnd w:id="64"/>
    <w:bookmarkStart w:id="65" w:name="ref-kudo2009"/>
    <w:p>
      <w:pPr>
        <w:pStyle w:val="Bibliography"/>
      </w:pPr>
      <w:r>
        <w:t xml:space="preserve">Kudo NR, Anger M, Peters AH, Stemmann O, Theussl H-C, Helmhart W, Kudo H, Heyting C, Nasmyth K. 2009. Role of cleavage by separase of the rec8 kleisin subunit of cohesin during mammalian meiosis i.</w:t>
      </w:r>
      <w:r>
        <w:t xml:space="preserve"> </w:t>
      </w:r>
      <w:r>
        <w:rPr>
          <w:i/>
        </w:rPr>
        <w:t xml:space="preserve">Journal of cell science</w:t>
      </w:r>
      <w:r>
        <w:t xml:space="preserve"> </w:t>
      </w:r>
      <w:r>
        <w:rPr>
          <w:b/>
        </w:rPr>
        <w:t xml:space="preserve">122</w:t>
      </w:r>
      <w:r>
        <w:t xml:space="preserve">:2686–2698.</w:t>
      </w:r>
    </w:p>
    <w:bookmarkEnd w:id="65"/>
    <w:bookmarkStart w:id="66" w:name="ref-kyogoku2017"/>
    <w:p>
      <w:pPr>
        <w:pStyle w:val="Bibliography"/>
      </w:pPr>
      <w:r>
        <w:t xml:space="preserve">Kyogoku H, Kitajima TS. 2017. Large cytoplasm is linked to the error-prone nature of oocytes.</w:t>
      </w:r>
      <w:r>
        <w:t xml:space="preserve"> </w:t>
      </w:r>
      <w:r>
        <w:rPr>
          <w:i/>
        </w:rPr>
        <w:t xml:space="preserve">Developmental cell</w:t>
      </w:r>
      <w:r>
        <w:t xml:space="preserve"> </w:t>
      </w:r>
      <w:r>
        <w:rPr>
          <w:b/>
        </w:rPr>
        <w:t xml:space="preserve">41</w:t>
      </w:r>
      <w:r>
        <w:t xml:space="preserve">:287–298.</w:t>
      </w:r>
    </w:p>
    <w:bookmarkEnd w:id="66"/>
    <w:bookmarkStart w:id="67" w:name="ref-LaneKauppi2019"/>
    <w:p>
      <w:pPr>
        <w:pStyle w:val="Bibliography"/>
      </w:pPr>
      <w:r>
        <w:t xml:space="preserve">Lane S, Kauppi L. 2019. Meiotic spindle assembly checkpoint and aneuploidy in males versus females.</w:t>
      </w:r>
      <w:r>
        <w:t xml:space="preserve"> </w:t>
      </w:r>
      <w:r>
        <w:rPr>
          <w:i/>
        </w:rPr>
        <w:t xml:space="preserve">Cellular and molecular life sciences</w:t>
      </w:r>
      <w:r>
        <w:t xml:space="preserve"> </w:t>
      </w:r>
      <w:r>
        <w:rPr>
          <w:b/>
        </w:rPr>
        <w:t xml:space="preserve">76</w:t>
      </w:r>
      <w:r>
        <w:t xml:space="preserve">:1135–1150.</w:t>
      </w:r>
    </w:p>
    <w:bookmarkEnd w:id="67"/>
    <w:bookmarkStart w:id="68" w:name="ref-Lee2019"/>
    <w:p>
      <w:pPr>
        <w:pStyle w:val="Bibliography"/>
      </w:pPr>
      <w:r>
        <w:t xml:space="preserve">Lee J. 2019. Is age-related increase of chromosome segregation errors in mammalian oocytes caused by cohesin deterioration?</w:t>
      </w:r>
      <w:r>
        <w:t xml:space="preserve"> </w:t>
      </w:r>
      <w:r>
        <w:rPr>
          <w:i/>
        </w:rPr>
        <w:t xml:space="preserve">Reproductive Medicine and Biology</w:t>
      </w:r>
      <w:r>
        <w:t xml:space="preserve">.</w:t>
      </w:r>
    </w:p>
    <w:bookmarkEnd w:id="68"/>
    <w:bookmarkStart w:id="69" w:name="ref-lenormand2003"/>
    <w:p>
      <w:pPr>
        <w:pStyle w:val="Bibliography"/>
      </w:pPr>
      <w:r>
        <w:t xml:space="preserve">Lenormand T. 2003. The evolution of sex dimorphism in recombination.</w:t>
      </w:r>
      <w:r>
        <w:t xml:space="preserve"> </w:t>
      </w:r>
      <w:r>
        <w:rPr>
          <w:i/>
        </w:rPr>
        <w:t xml:space="preserve">Genetics</w:t>
      </w:r>
      <w:r>
        <w:t xml:space="preserve"> </w:t>
      </w:r>
      <w:r>
        <w:rPr>
          <w:b/>
        </w:rPr>
        <w:t xml:space="preserve">163</w:t>
      </w:r>
      <w:r>
        <w:t xml:space="preserve">:811–822.</w:t>
      </w:r>
    </w:p>
    <w:bookmarkEnd w:id="69"/>
    <w:bookmarkStart w:id="70" w:name="ref-lenormandDuthiel_2005"/>
    <w:p>
      <w:pPr>
        <w:pStyle w:val="Bibliography"/>
      </w:pPr>
      <w:r>
        <w:t xml:space="preserve">Lenormand T, Dutheil J. 2005. Recombination difference between sexes: A role for haploid selection.</w:t>
      </w:r>
      <w:r>
        <w:t xml:space="preserve"> </w:t>
      </w:r>
      <w:r>
        <w:rPr>
          <w:i/>
        </w:rPr>
        <w:t xml:space="preserve">PLoS biology</w:t>
      </w:r>
      <w:r>
        <w:t xml:space="preserve"> </w:t>
      </w:r>
      <w:r>
        <w:rPr>
          <w:b/>
        </w:rPr>
        <w:t xml:space="preserve">3</w:t>
      </w:r>
      <w:r>
        <w:t xml:space="preserve">.</w:t>
      </w:r>
    </w:p>
    <w:bookmarkEnd w:id="70"/>
    <w:bookmarkStart w:id="71" w:name="ref-lenormand2016"/>
    <w:p>
      <w:pPr>
        <w:pStyle w:val="Bibliography"/>
      </w:pPr>
      <w:r>
        <w:t xml:space="preserve">Lenormand T, Engelstädter J, Johnston SE, Wijnker E, Haag CR. 2016. Evolutionary mysteries in meiosis.</w:t>
      </w:r>
      <w:r>
        <w:t xml:space="preserve"> </w:t>
      </w:r>
      <w:r>
        <w:rPr>
          <w:i/>
        </w:rPr>
        <w:t xml:space="preserve">Philosophical Transactions of the Royal Society B: Biological Sciences</w:t>
      </w:r>
      <w:r>
        <w:t xml:space="preserve"> </w:t>
      </w:r>
      <w:r>
        <w:rPr>
          <w:b/>
        </w:rPr>
        <w:t xml:space="preserve">371</w:t>
      </w:r>
      <w:r>
        <w:t xml:space="preserve">:20160001.</w:t>
      </w:r>
    </w:p>
    <w:bookmarkEnd w:id="71"/>
    <w:bookmarkStart w:id="72" w:name="ref-lynn2002"/>
    <w:p>
      <w:pPr>
        <w:pStyle w:val="Bibliography"/>
      </w:pPr>
      <w:r>
        <w:t xml:space="preserve">Lynn A, Koehler KE, Judis L, Chan ER, Cherry JP, Schwartz S, Seftel A, Hunt PA, Hassold TJ. 2002. Covariation of synaptonemal complex length and mammalian meiotic exchange rates.</w:t>
      </w:r>
      <w:r>
        <w:t xml:space="preserve"> </w:t>
      </w:r>
      <w:r>
        <w:rPr>
          <w:i/>
        </w:rPr>
        <w:t xml:space="preserve">Science</w:t>
      </w:r>
      <w:r>
        <w:t xml:space="preserve"> </w:t>
      </w:r>
      <w:r>
        <w:rPr>
          <w:b/>
        </w:rPr>
        <w:t xml:space="preserve">296</w:t>
      </w:r>
      <w:r>
        <w:t xml:space="preserve">:2222–2225.</w:t>
      </w:r>
    </w:p>
    <w:bookmarkEnd w:id="72"/>
    <w:bookmarkStart w:id="73" w:name="ref-ma2015_cattle"/>
    <w:p>
      <w:pPr>
        <w:pStyle w:val="Bibliography"/>
      </w:pPr>
      <w:r>
        <w:t xml:space="preserve">Ma L, O’Connell JR, VanRaden PM, Shen B, Padhi A, Sun C, Bickhart DM, Cole JB, Null DJ, Liu GE, others. 2015. Cattle sex-specific recombination and genetic control from a large pedigree analysis.</w:t>
      </w:r>
      <w:r>
        <w:t xml:space="preserve"> </w:t>
      </w:r>
      <w:r>
        <w:rPr>
          <w:i/>
        </w:rPr>
        <w:t xml:space="preserve">PLoS genetics</w:t>
      </w:r>
      <w:r>
        <w:t xml:space="preserve"> </w:t>
      </w:r>
      <w:r>
        <w:rPr>
          <w:b/>
        </w:rPr>
        <w:t xml:space="preserve">11</w:t>
      </w:r>
      <w:r>
        <w:t xml:space="preserve">.</w:t>
      </w:r>
    </w:p>
    <w:bookmarkEnd w:id="73"/>
    <w:bookmarkStart w:id="74" w:name="ref-murdoch2010"/>
    <w:p>
      <w:pPr>
        <w:pStyle w:val="Bibliography"/>
      </w:pPr>
      <w:r>
        <w:t xml:space="preserve">Murdoch B, Owen N, Shirley S, Crumb S, Broman KW, Hassold T. 2010. Multiple loci contribute to genome-wide recombination levels in male mice.</w:t>
      </w:r>
      <w:r>
        <w:t xml:space="preserve"> </w:t>
      </w:r>
      <w:r>
        <w:rPr>
          <w:i/>
        </w:rPr>
        <w:t xml:space="preserve">Mammalian Genome</w:t>
      </w:r>
      <w:r>
        <w:t xml:space="preserve"> </w:t>
      </w:r>
      <w:r>
        <w:rPr>
          <w:b/>
        </w:rPr>
        <w:t xml:space="preserve">21</w:t>
      </w:r>
      <w:r>
        <w:t xml:space="preserve">:550–555.</w:t>
      </w:r>
    </w:p>
    <w:bookmarkEnd w:id="74"/>
    <w:bookmarkStart w:id="75" w:name="ref-nachman2012"/>
    <w:p>
      <w:pPr>
        <w:pStyle w:val="Bibliography"/>
      </w:pPr>
      <w:r>
        <w:t xml:space="preserve">Nachman MW, Payseur BA. 2012. Recombination rate variation and speciation: Theoretical predictions and empirical results from rabbits and mice.</w:t>
      </w:r>
      <w:r>
        <w:t xml:space="preserve"> </w:t>
      </w:r>
      <w:r>
        <w:rPr>
          <w:i/>
        </w:rPr>
        <w:t xml:space="preserve">Philosophical Transactions of the Royal Society B: Biological Sciences</w:t>
      </w:r>
      <w:r>
        <w:t xml:space="preserve"> </w:t>
      </w:r>
      <w:r>
        <w:rPr>
          <w:b/>
        </w:rPr>
        <w:t xml:space="preserve">367</w:t>
      </w:r>
      <w:r>
        <w:t xml:space="preserve">:409–421.</w:t>
      </w:r>
    </w:p>
    <w:bookmarkEnd w:id="75"/>
    <w:bookmarkStart w:id="76" w:name="ref-nagaoka2012"/>
    <w:p>
      <w:pPr>
        <w:pStyle w:val="Bibliography"/>
      </w:pPr>
      <w:r>
        <w:t xml:space="preserve">Nagaoka SI, Hassold TJ, Hunt PA. 2012. Human aneuploidy: Mechanisms and new insights into an age-old problem.</w:t>
      </w:r>
      <w:r>
        <w:t xml:space="preserve"> </w:t>
      </w:r>
      <w:r>
        <w:rPr>
          <w:i/>
        </w:rPr>
        <w:t xml:space="preserve">Nature Reviews Genetics</w:t>
      </w:r>
      <w:r>
        <w:t xml:space="preserve"> </w:t>
      </w:r>
      <w:r>
        <w:rPr>
          <w:b/>
        </w:rPr>
        <w:t xml:space="preserve">13</w:t>
      </w:r>
      <w:r>
        <w:t xml:space="preserve">:493–504.</w:t>
      </w:r>
    </w:p>
    <w:bookmarkEnd w:id="76"/>
    <w:bookmarkStart w:id="77" w:name="ref-ottoPaysuer2019"/>
    <w:p>
      <w:pPr>
        <w:pStyle w:val="Bibliography"/>
      </w:pPr>
      <w:r>
        <w:t xml:space="preserve">Otto SP, Payseur BA. 2019. Crossover interference: Shedding light on the evolution of recombination.</w:t>
      </w:r>
      <w:r>
        <w:t xml:space="preserve"> </w:t>
      </w:r>
      <w:r>
        <w:rPr>
          <w:i/>
        </w:rPr>
        <w:t xml:space="preserve">Annual review of genetics</w:t>
      </w:r>
      <w:r>
        <w:t xml:space="preserve"> </w:t>
      </w:r>
      <w:r>
        <w:rPr>
          <w:b/>
        </w:rPr>
        <w:t xml:space="preserve">53</w:t>
      </w:r>
      <w:r>
        <w:t xml:space="preserve">:19–44.</w:t>
      </w:r>
    </w:p>
    <w:bookmarkEnd w:id="77"/>
    <w:bookmarkStart w:id="78" w:name="ref-peters_1997"/>
    <w:p>
      <w:pPr>
        <w:pStyle w:val="Bibliography"/>
      </w:pPr>
      <w:r>
        <w:t xml:space="preserve">Peters AH, Plug AW, Vugt MJ van, De Boer P. 1997. SHORT COMMUNICATIONS A drying-down technique for the spreading of mammalian meiocytes from the male and female germline.</w:t>
      </w:r>
      <w:r>
        <w:t xml:space="preserve"> </w:t>
      </w:r>
      <w:r>
        <w:rPr>
          <w:i/>
        </w:rPr>
        <w:t xml:space="preserve">Chromosome research</w:t>
      </w:r>
      <w:r>
        <w:t xml:space="preserve"> </w:t>
      </w:r>
      <w:r>
        <w:rPr>
          <w:b/>
        </w:rPr>
        <w:t xml:space="preserve">5</w:t>
      </w:r>
      <w:r>
        <w:t xml:space="preserve">:66–68.</w:t>
      </w:r>
    </w:p>
    <w:bookmarkEnd w:id="78"/>
    <w:bookmarkStart w:id="79" w:name="ref-peterson2019"/>
    <w:p>
      <w:pPr>
        <w:pStyle w:val="Bibliography"/>
      </w:pPr>
      <w:r>
        <w:t xml:space="preserve">Peterson AL, Miller ND, Payseur BA. 2019. Conservation of the genome-wide recombination rate in white-footed mice.</w:t>
      </w:r>
      <w:r>
        <w:t xml:space="preserve"> </w:t>
      </w:r>
      <w:r>
        <w:rPr>
          <w:i/>
        </w:rPr>
        <w:t xml:space="preserve">Heredity</w:t>
      </w:r>
      <w:r>
        <w:t xml:space="preserve"> </w:t>
      </w:r>
      <w:r>
        <w:rPr>
          <w:b/>
        </w:rPr>
        <w:t xml:space="preserve">123</w:t>
      </w:r>
      <w:r>
        <w:t xml:space="preserve">:442–457.</w:t>
      </w:r>
    </w:p>
    <w:bookmarkEnd w:id="79"/>
    <w:bookmarkStart w:id="80" w:name="ref-petkov2007"/>
    <w:p>
      <w:pPr>
        <w:pStyle w:val="Bibliography"/>
      </w:pPr>
      <w:r>
        <w:t xml:space="preserve">Petkov PM, Broman KW, Szatkiewicz JP, Paigen K. 2007. Crossover interference underlies sex differences in recombination rates.</w:t>
      </w:r>
      <w:r>
        <w:t xml:space="preserve"> </w:t>
      </w:r>
      <w:r>
        <w:rPr>
          <w:i/>
        </w:rPr>
        <w:t xml:space="preserve">Trends in Genetics</w:t>
      </w:r>
      <w:r>
        <w:t xml:space="preserve"> </w:t>
      </w:r>
      <w:r>
        <w:rPr>
          <w:b/>
        </w:rPr>
        <w:t xml:space="preserve">23</w:t>
      </w:r>
      <w:r>
        <w:t xml:space="preserve">:539–542.</w:t>
      </w:r>
    </w:p>
    <w:bookmarkEnd w:id="80"/>
    <w:bookmarkStart w:id="81" w:name="ref-Ritz2017"/>
    <w:p>
      <w:pPr>
        <w:pStyle w:val="Bibliography"/>
      </w:pPr>
      <w:r>
        <w:t xml:space="preserve">Ritz KR, Noor MA, Singh ND. 2017. Variation in recombination rate: Adaptive or not?</w:t>
      </w:r>
      <w:r>
        <w:t xml:space="preserve"> </w:t>
      </w:r>
      <w:r>
        <w:rPr>
          <w:i/>
        </w:rPr>
        <w:t xml:space="preserve">Trends in Genetics</w:t>
      </w:r>
      <w:r>
        <w:t xml:space="preserve"> </w:t>
      </w:r>
      <w:r>
        <w:rPr>
          <w:b/>
        </w:rPr>
        <w:t xml:space="preserve">33</w:t>
      </w:r>
      <w:r>
        <w:t xml:space="preserve">:364–374.</w:t>
      </w:r>
    </w:p>
    <w:bookmarkEnd w:id="81"/>
    <w:bookmarkStart w:id="82" w:name="ref-samuk2020"/>
    <w:p>
      <w:pPr>
        <w:pStyle w:val="Bibliography"/>
      </w:pPr>
      <w:r>
        <w:t xml:space="preserve">Samuk K, Manzano-Winkler B, Ritz KR, Noor MA. 2020. Natural selection shapes variation in genome-wide recombination rate in drosophila pseudoobscura.</w:t>
      </w:r>
      <w:r>
        <w:t xml:space="preserve"> </w:t>
      </w:r>
      <w:r>
        <w:rPr>
          <w:i/>
        </w:rPr>
        <w:t xml:space="preserve">Current Biology</w:t>
      </w:r>
      <w:r>
        <w:t xml:space="preserve">.</w:t>
      </w:r>
    </w:p>
    <w:bookmarkEnd w:id="82"/>
    <w:bookmarkStart w:id="84" w:name="ref-sardell_sex_2020"/>
    <w:p>
      <w:pPr>
        <w:pStyle w:val="Bibliography"/>
      </w:pPr>
      <w:r>
        <w:t xml:space="preserve">Sardell JM, Kirkpatrick M. 2020. Sex differences in the recombination landscape.</w:t>
      </w:r>
      <w:r>
        <w:t xml:space="preserve"> </w:t>
      </w:r>
      <w:r>
        <w:rPr>
          <w:i/>
        </w:rPr>
        <w:t xml:space="preserve">The American Naturalist</w:t>
      </w:r>
      <w:r>
        <w:t xml:space="preserve"> </w:t>
      </w:r>
      <w:r>
        <w:rPr>
          <w:b/>
        </w:rPr>
        <w:t xml:space="preserve">195</w:t>
      </w:r>
      <w:r>
        <w:t xml:space="preserve">:361–379. doi:</w:t>
      </w:r>
      <w:hyperlink r:id="rId83">
        <w:r>
          <w:rPr>
            <w:rStyle w:val="Hyperlink"/>
          </w:rPr>
          <w:t xml:space="preserve">10.1086/704943</w:t>
        </w:r>
      </w:hyperlink>
    </w:p>
    <w:bookmarkEnd w:id="84"/>
    <w:bookmarkStart w:id="85" w:name="ref-RLRsim"/>
    <w:p>
      <w:pPr>
        <w:pStyle w:val="Bibliography"/>
      </w:pPr>
      <w:r>
        <w:t xml:space="preserve">Scheipl F, Greven S, Kuechenhoff H. 2008. Size and power of tests for a zero random effect variance or polynomial regression in additive and linear mixed models.</w:t>
      </w:r>
      <w:r>
        <w:t xml:space="preserve"> </w:t>
      </w:r>
      <w:r>
        <w:rPr>
          <w:i/>
        </w:rPr>
        <w:t xml:space="preserve">Computational Statistics &amp; Data Analysis</w:t>
      </w:r>
      <w:r>
        <w:t xml:space="preserve"> </w:t>
      </w:r>
      <w:r>
        <w:rPr>
          <w:b/>
        </w:rPr>
        <w:t xml:space="preserve">52</w:t>
      </w:r>
      <w:r>
        <w:t xml:space="preserve">:3283–3299.</w:t>
      </w:r>
    </w:p>
    <w:bookmarkEnd w:id="85"/>
    <w:bookmarkStart w:id="86" w:name="ref-segura2013"/>
    <w:p>
      <w:pPr>
        <w:pStyle w:val="Bibliography"/>
      </w:pPr>
      <w:r>
        <w:t xml:space="preserve">Segura J, Ferretti L, Ramos-Onsins S, Capilla L, Farré M, Reis F, Oliver-Bonet M, Fernández-Bellón H, Garcia F, Garcia-Caldés M, others.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rPr>
          <w:b/>
        </w:rPr>
        <w:t xml:space="preserve">280</w:t>
      </w:r>
      <w:r>
        <w:t xml:space="preserve">:20131945.</w:t>
      </w:r>
    </w:p>
    <w:bookmarkEnd w:id="86"/>
    <w:bookmarkStart w:id="87" w:name="ref-Shen2018_cattle"/>
    <w:p>
      <w:pPr>
        <w:pStyle w:val="Bibliography"/>
      </w:pPr>
      <w:r>
        <w:t xml:space="preserve">Shen B, Jiang J, Seroussi E, Liu GE, Ma L. 2018. Characterization of recombination features and the genetic basis in multiple cattle breeds.</w:t>
      </w:r>
      <w:r>
        <w:t xml:space="preserve"> </w:t>
      </w:r>
      <w:r>
        <w:rPr>
          <w:i/>
        </w:rPr>
        <w:t xml:space="preserve">BMC genomics</w:t>
      </w:r>
      <w:r>
        <w:t xml:space="preserve"> </w:t>
      </w:r>
      <w:r>
        <w:rPr>
          <w:b/>
        </w:rPr>
        <w:t xml:space="preserve">19</w:t>
      </w:r>
      <w:r>
        <w:t xml:space="preserve">:304.</w:t>
      </w:r>
    </w:p>
    <w:bookmarkEnd w:id="87"/>
    <w:bookmarkStart w:id="88" w:name="ref-So2019"/>
    <w:p>
      <w:pPr>
        <w:pStyle w:val="Bibliography"/>
      </w:pPr>
      <w:r>
        <w:t xml:space="preserve">So C, Seres KB, Steyer AM, Mönnich E, Clift D, Pejkovska A, Möbius W, Schuh M. 2019. A liquid-like spindle domain promotes acentrosomal spindle assembly in mammalian oocytes.</w:t>
      </w:r>
      <w:r>
        <w:t xml:space="preserve"> </w:t>
      </w:r>
      <w:r>
        <w:rPr>
          <w:i/>
        </w:rPr>
        <w:t xml:space="preserve">Science</w:t>
      </w:r>
      <w:r>
        <w:t xml:space="preserve"> </w:t>
      </w:r>
      <w:r>
        <w:rPr>
          <w:b/>
        </w:rPr>
        <w:t xml:space="preserve">364</w:t>
      </w:r>
      <w:r>
        <w:t xml:space="preserve">:eaat9557.</w:t>
      </w:r>
    </w:p>
    <w:bookmarkEnd w:id="88"/>
    <w:bookmarkStart w:id="89" w:name="ref-srivastava2017CC"/>
    <w:p>
      <w:pPr>
        <w:pStyle w:val="Bibliography"/>
      </w:pPr>
      <w:r>
        <w:t xml:space="preserve">Srivastava A, Morgan AP, Najarian ML, Sarsani VK, Sigmon JS, Shorter JR, Kashfeen A, McMullan RC, Williams LH, Giusti-Rodrı́guez P, others. 2017. Genomes of the mouse collaborative cross.</w:t>
      </w:r>
      <w:r>
        <w:t xml:space="preserve"> </w:t>
      </w:r>
      <w:r>
        <w:rPr>
          <w:i/>
        </w:rPr>
        <w:t xml:space="preserve">Genetics</w:t>
      </w:r>
      <w:r>
        <w:t xml:space="preserve"> </w:t>
      </w:r>
      <w:r>
        <w:rPr>
          <w:b/>
        </w:rPr>
        <w:t xml:space="preserve">206</w:t>
      </w:r>
      <w:r>
        <w:t xml:space="preserve">:537–556.</w:t>
      </w:r>
    </w:p>
    <w:bookmarkEnd w:id="89"/>
    <w:bookmarkStart w:id="90" w:name="ref-subramanian2014"/>
    <w:p>
      <w:pPr>
        <w:pStyle w:val="Bibliography"/>
      </w:pPr>
      <w:r>
        <w:t xml:space="preserve">Subramanian VV, Hochwagen A. 2014. The meiotic checkpoint network: Step-by-step through meiotic prophase.</w:t>
      </w:r>
      <w:r>
        <w:t xml:space="preserve"> </w:t>
      </w:r>
      <w:r>
        <w:rPr>
          <w:i/>
        </w:rPr>
        <w:t xml:space="preserve">Cold Spring Harbor perspectives in biology</w:t>
      </w:r>
      <w:r>
        <w:t xml:space="preserve"> </w:t>
      </w:r>
      <w:r>
        <w:rPr>
          <w:b/>
        </w:rPr>
        <w:t xml:space="preserve">6</w:t>
      </w:r>
      <w:r>
        <w:t xml:space="preserve">:a016675.</w:t>
      </w:r>
    </w:p>
    <w:bookmarkEnd w:id="90"/>
    <w:bookmarkStart w:id="91" w:name="ref-Rstudio"/>
    <w:p>
      <w:pPr>
        <w:pStyle w:val="Bibliography"/>
      </w:pPr>
      <w:r>
        <w:t xml:space="preserve">Team R. 2015. RStudio: Integrated Development Environment for R.</w:t>
      </w:r>
    </w:p>
    <w:bookmarkEnd w:id="91"/>
    <w:bookmarkStart w:id="92" w:name="ref-tease2004"/>
    <w:p>
      <w:pPr>
        <w:pStyle w:val="Bibliography"/>
      </w:pPr>
      <w:r>
        <w:t xml:space="preserve">Tease C, Hulten M. 2004. Inter-sex variation in synaptonemal complex lengths largely determine the different recombination rates in male and female germ cells.</w:t>
      </w:r>
      <w:r>
        <w:t xml:space="preserve"> </w:t>
      </w:r>
      <w:r>
        <w:rPr>
          <w:i/>
        </w:rPr>
        <w:t xml:space="preserve">Cytogenetic and genome research</w:t>
      </w:r>
      <w:r>
        <w:t xml:space="preserve"> </w:t>
      </w:r>
      <w:r>
        <w:rPr>
          <w:b/>
        </w:rPr>
        <w:t xml:space="preserve">107</w:t>
      </w:r>
      <w:r>
        <w:t xml:space="preserve">:208–215.</w:t>
      </w:r>
    </w:p>
    <w:bookmarkEnd w:id="92"/>
    <w:bookmarkStart w:id="93" w:name="ref-vanVeen2003"/>
    <w:p>
      <w:pPr>
        <w:pStyle w:val="Bibliography"/>
      </w:pPr>
      <w:r>
        <w:t xml:space="preserve">VanVeen JE, Hawley RS. 2003. Meiosis: When even two is a crowd.</w:t>
      </w:r>
      <w:r>
        <w:t xml:space="preserve"> </w:t>
      </w:r>
      <w:r>
        <w:rPr>
          <w:i/>
        </w:rPr>
        <w:t xml:space="preserve">Current Biology</w:t>
      </w:r>
      <w:r>
        <w:t xml:space="preserve"> </w:t>
      </w:r>
      <w:r>
        <w:rPr>
          <w:b/>
        </w:rPr>
        <w:t xml:space="preserve">13</w:t>
      </w:r>
      <w:r>
        <w:t xml:space="preserve">:R831–R833.</w:t>
      </w:r>
    </w:p>
    <w:bookmarkEnd w:id="93"/>
    <w:bookmarkStart w:id="94" w:name="ref-wang2019_SC"/>
    <w:p>
      <w:pPr>
        <w:pStyle w:val="Bibliography"/>
      </w:pPr>
      <w:r>
        <w:t xml:space="preserve">Wang RJ, Dumont BL, Jing P, Payseur BA. 2019. A first genetic portrait of synaptonemal complex variation.</w:t>
      </w:r>
      <w:r>
        <w:t xml:space="preserve"> </w:t>
      </w:r>
      <w:r>
        <w:rPr>
          <w:i/>
        </w:rPr>
        <w:t xml:space="preserve">PLoS genetics</w:t>
      </w:r>
      <w:r>
        <w:t xml:space="preserve"> </w:t>
      </w:r>
      <w:r>
        <w:rPr>
          <w:b/>
        </w:rPr>
        <w:t xml:space="preserve">15</w:t>
      </w:r>
      <w:r>
        <w:t xml:space="preserve">:e1008337.</w:t>
      </w:r>
    </w:p>
    <w:bookmarkEnd w:id="94"/>
    <w:bookmarkStart w:id="95" w:name="ref-Wang2017island"/>
    <w:p>
      <w:pPr>
        <w:pStyle w:val="Bibliography"/>
      </w:pPr>
      <w:r>
        <w:t xml:space="preserve">Wang RJ, Payseur BA. 2017. Genetics of genome-wide recombination rate evolution in mice from an isolated island.</w:t>
      </w:r>
      <w:r>
        <w:t xml:space="preserve"> </w:t>
      </w:r>
      <w:r>
        <w:rPr>
          <w:i/>
        </w:rPr>
        <w:t xml:space="preserve">Genetics</w:t>
      </w:r>
      <w:r>
        <w:t xml:space="preserve"> </w:t>
      </w:r>
      <w:r>
        <w:rPr>
          <w:b/>
        </w:rPr>
        <w:t xml:space="preserve">206</w:t>
      </w:r>
      <w:r>
        <w:t xml:space="preserve">:1841–1852.</w:t>
      </w:r>
    </w:p>
    <w:bookmarkEnd w:id="95"/>
    <w:bookmarkStart w:id="96" w:name="ref-wang2017inefficient"/>
    <w:p>
      <w:pPr>
        <w:pStyle w:val="Bibliography"/>
      </w:pPr>
      <w:r>
        <w:t xml:space="preserve">Wang S, Hassold T, Hunt P, White MA, Zickler D, Kleckner N, Zhang L. 2017. Inefficient crossover maturation underlies elevated aneuploidy in human female meiosis.</w:t>
      </w:r>
      <w:r>
        <w:t xml:space="preserve"> </w:t>
      </w:r>
      <w:r>
        <w:rPr>
          <w:i/>
        </w:rPr>
        <w:t xml:space="preserve">Cell</w:t>
      </w:r>
      <w:r>
        <w:t xml:space="preserve"> </w:t>
      </w:r>
      <w:r>
        <w:rPr>
          <w:b/>
        </w:rPr>
        <w:t xml:space="preserve">168</w:t>
      </w:r>
      <w:r>
        <w:t xml:space="preserve">:977–989.</w:t>
      </w:r>
    </w:p>
    <w:bookmarkEnd w:id="96"/>
    <w:bookmarkStart w:id="97" w:name="ref-wong2010dog"/>
    <w:p>
      <w:pPr>
        <w:pStyle w:val="Bibliography"/>
      </w:pPr>
      <w:r>
        <w:t xml:space="preserve">Wong AK, Ruhe AL, Dumont BL, Robertson KR, Guerrero G, Shull SM, Ziegle JS, Millon LV, Broman KW, Payseur BA, others. 2010. A comprehensive linkage map of the dog genome.</w:t>
      </w:r>
      <w:r>
        <w:t xml:space="preserve"> </w:t>
      </w:r>
      <w:r>
        <w:rPr>
          <w:i/>
        </w:rPr>
        <w:t xml:space="preserve">Genetics</w:t>
      </w:r>
      <w:r>
        <w:t xml:space="preserve"> </w:t>
      </w:r>
      <w:r>
        <w:rPr>
          <w:b/>
        </w:rPr>
        <w:t xml:space="preserve">184</w:t>
      </w:r>
      <w:r>
        <w:t xml:space="preserve">:595–605.</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i.org/10.1086/704943" TargetMode="External" /><Relationship Type="http://schemas.openxmlformats.org/officeDocument/2006/relationships/hyperlink" Id="rId38" Target="https://doi.org/10.18637/jss.v067.i01"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86/704943" TargetMode="External" /><Relationship Type="http://schemas.openxmlformats.org/officeDocument/2006/relationships/hyperlink" Id="rId38" Target="https://doi.org/10.18637/jss.v06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dcterms:created xsi:type="dcterms:W3CDTF">2020-06-23T03:12:01Z</dcterms:created>
  <dcterms:modified xsi:type="dcterms:W3CDTF">2020-06-23T03:12:01Z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