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2020-04-17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material-methods-draft-v1"/>
      <w:bookmarkEnd w:id="21"/>
      <w:r>
        <w:t xml:space="preserve">Material Methods Draft v1</w:t>
      </w:r>
    </w:p>
    <w:p>
      <w:pPr>
        <w:pStyle w:val="FirstParagraph"/>
      </w:pPr>
      <w:r>
        <w:t xml:space="preserve">ToDo; Bret’s suggestion for moving thing to Mat and Methods</w:t>
      </w:r>
    </w:p>
    <w:p>
      <w:pPr>
        <w:pStyle w:val="Heading3"/>
      </w:pPr>
      <w:bookmarkStart w:id="22" w:name="mouse-husbandry"/>
      <w:bookmarkEnd w:id="22"/>
      <w:r>
        <w:t xml:space="preserve">Mouse Husbandry</w:t>
      </w:r>
    </w:p>
    <w:p>
      <w:pPr>
        <w:pStyle w:val="FirstParagraph"/>
      </w:pPr>
      <w:r>
        <w:t xml:space="preserve">To access natural genetic variation for</w:t>
      </w:r>
      <w:r>
        <w:t xml:space="preserve"> </w:t>
      </w:r>
      <w:r>
        <w:rPr>
          <w:i/>
        </w:rPr>
        <w:t xml:space="preserve">Mus musculus</w:t>
      </w:r>
      <w:r>
        <w:t xml:space="preserve">, wild derived inbred strains were used. The</w:t>
      </w:r>
      <w:r>
        <w:t xml:space="preserve"> </w:t>
      </w:r>
      <w:r>
        <w:rPr>
          <w:i/>
        </w:rPr>
        <w:t xml:space="preserve">Mus musculus</w:t>
      </w:r>
      <w:r>
        <w:t xml:space="preserve"> </w:t>
      </w:r>
      <w:r>
        <w:t xml:space="preserve">strains PWD/PhJ, PERC/Eij, WSB/EiJ, LEWE/EiJ, MSM/MsJ, MOLF/EiJ, CAST/EiJ, CZECHII/EiJ were purchased from Jackson labs (Maine, USA). The strains of KAZ/TUA, TOM/TUA, AST/TUA, and HMI/TUA were generated from frozen embryos purchased from Biological Resource Center (BRC) at Riken (Ibaraki, Japan). (</w:t>
      </w:r>
      <w:hyperlink r:id="rId23">
        <w:r>
          <w:rPr>
            <w:rStyle w:val="Hyperlink"/>
          </w:rPr>
          <w:t xml:space="preserve">https://en.brc.riken.jp</w:t>
        </w:r>
      </w:hyperlink>
      <w:r>
        <w:t xml:space="preserve">) and rederived by the UW-Biotech centre (Madison UW).</w:t>
      </w:r>
      <w:r>
        <w:t xml:space="preserve"> </w:t>
      </w:r>
      <w:r>
        <w:t xml:space="preserve">The related murid species</w:t>
      </w:r>
      <w:r>
        <w:t xml:space="preserve"> </w:t>
      </w:r>
      <w:r>
        <w:rPr>
          <w:i/>
        </w:rPr>
        <w:t xml:space="preserve">Mus caroli</w:t>
      </w:r>
      <w:r>
        <w:t xml:space="preserve"> </w:t>
      </w:r>
      <w:r>
        <w:t xml:space="preserve">CAROLI/EiJ and</w:t>
      </w:r>
      <w:r>
        <w:t xml:space="preserve"> </w:t>
      </w:r>
      <w:r>
        <w:rPr>
          <w:i/>
        </w:rPr>
        <w:t xml:space="preserve">Mus spretus</w:t>
      </w:r>
      <w:r>
        <w:t xml:space="preserve"> </w:t>
      </w:r>
      <w:r>
        <w:t xml:space="preserve">SPRET/EiJ were purchased from Jackson labs (</w:t>
      </w:r>
      <w:hyperlink r:id="rId24">
        <w:r>
          <w:rPr>
            <w:rStyle w:val="Hyperlink"/>
          </w:rPr>
          <w:t xml:space="preserve">https://www.jax.org</w:t>
        </w:r>
      </w:hyperlink>
      <w:r>
        <w:t xml:space="preserve">) and</w:t>
      </w:r>
      <w:r>
        <w:t xml:space="preserve"> </w:t>
      </w:r>
      <w:r>
        <w:rPr>
          <w:i/>
        </w:rPr>
        <w:t xml:space="preserve">Mus spicilegus</w:t>
      </w:r>
      <w:r>
        <w:t xml:space="preserve"> </w:t>
      </w:r>
      <w:r>
        <w:t xml:space="preserve">SPIC/Eij from Riken. We use abriviated superscript notation for the remainder of the paper (e.g.</w:t>
      </w:r>
      <w:r>
        <w:t xml:space="preserve"> </w:t>
      </w:r>
      <w:r>
        <w:rPr>
          <w:i/>
        </w:rPr>
        <w:t xml:space="preserve">musculus</w:t>
      </w:r>
      <w:r>
        <w:rPr>
          <w:vertAlign w:val="superscript"/>
          <w:i/>
        </w:rPr>
        <w:t xml:space="preserve">WSB</w:t>
      </w:r>
      <w:r>
        <w:t xml:space="preserve">).</w:t>
      </w:r>
    </w:p>
    <w:p>
      <w:pPr>
        <w:pStyle w:val="BodyText"/>
      </w:pPr>
      <w:r>
        <w:t xml:space="preserve">All mice were housed UW-Madison Biotech and MSC facilities following RARC approved protocols. A breeding colony of wild derived</w:t>
      </w:r>
      <w:r>
        <w:t xml:space="preserve"> </w:t>
      </w:r>
      <w:r>
        <w:rPr>
          <w:i/>
        </w:rPr>
        <w:t xml:space="preserve">Mus musculus</w:t>
      </w:r>
      <w:r>
        <w:t xml:space="preserve"> </w:t>
      </w:r>
      <w:r>
        <w:t xml:space="preserve">mice sampled from Gough Island (G) is maintained at UW Veterinary school facilities.</w:t>
      </w:r>
    </w:p>
    <w:p>
      <w:pPr>
        <w:pStyle w:val="BodyText"/>
      </w:pPr>
    </w:p>
    <w:p>
      <w:pPr>
        <w:pStyle w:val="Heading3"/>
      </w:pPr>
      <w:bookmarkStart w:id="25" w:name="tissue-collection-and-immunohistochemistry"/>
      <w:bookmarkEnd w:id="25"/>
      <w:r>
        <w:t xml:space="preserve">Tissue Collection and Immunohistochemistry</w:t>
      </w:r>
    </w:p>
    <w:p>
      <w:pPr>
        <w:pStyle w:val="FirstParagraph"/>
      </w:pPr>
      <w:r>
        <w:t xml:space="preserve">Spermatocyte spreads were collected and perpared as described in</w:t>
      </w:r>
      <w:r>
        <w:t xml:space="preserve"> </w:t>
      </w:r>
      <w:r>
        <w:t xml:space="preserve">(Peterson, Miller, and Payseur 2019)</w:t>
      </w:r>
      <w:r>
        <w:t xml:space="preserve"> </w:t>
      </w:r>
      <w:r>
        <w:t xml:space="preserve">. The majority of mice used were between 5 and 12 weeks for MLH1 and juvinille mice (12 to 15 days) for DMC1 spreads. The majority of oocyte tissue was collected from neonate mice between 5 to 48 hours old. Meiocyte spreads were made following</w:t>
      </w:r>
      <w:r>
        <w:t xml:space="preserve"> </w:t>
      </w:r>
      <w:r>
        <w:t xml:space="preserve">(Peters et al. 1997)</w:t>
      </w:r>
      <w:r>
        <w:t xml:space="preserve"> </w:t>
      </w:r>
      <w:r>
        <w:t xml:space="preserve">- and was similar for both gonads – adjusted for volumes. Whole testes and decapsulated overaires were incubated in 3ml or 300ul of hypotonic solution for 45min respectively. After incubation, gonads were transferred to sucrose solution for mastication. 15ul of cell slurry was transferred to 80ul of 2% PFA solution. Cells were fixed in this solution and dried in a humid chamber at room temperature overnight. The next morning, slides were treated with a photoflow wash (Kodak, cite).</w:t>
      </w:r>
    </w:p>
    <w:p>
      <w:pPr>
        <w:pStyle w:val="BodyText"/>
      </w:pPr>
      <w:r>
        <w:t xml:space="preserve">We tested for</w:t>
      </w:r>
      <w:r>
        <w:t xml:space="preserve"> </w:t>
      </w:r>
      <w:r>
        <w:rPr>
          <w:b/>
        </w:rPr>
        <w:t xml:space="preserve">effects</w:t>
      </w:r>
      <w:r>
        <w:t xml:space="preserve"> </w:t>
      </w:r>
      <w:r>
        <w:t xml:space="preserve">on mean MLH1 counts per cell; across mouse rooms, ages of mature males – and differnces between embryos and neonates. No effects were found (Supplemental section). (Supplemental table).</w:t>
      </w:r>
    </w:p>
    <w:p>
      <w:pPr>
        <w:pStyle w:val="BodyText"/>
      </w:pPr>
      <w:r>
        <w:t xml:space="preserve"> </w:t>
      </w:r>
      <w:r>
        <w:t xml:space="preserve">.</w:t>
      </w:r>
    </w:p>
    <w:p>
      <w:pPr>
        <w:pStyle w:val="BodyText"/>
      </w:pPr>
      <w:r>
        <w:rPr>
          <w:b/>
        </w:rPr>
        <w:t xml:space="preserve">Staining / Immunohistochemistry</w:t>
      </w:r>
    </w:p>
    <w:p>
      <w:pPr>
        <w:pStyle w:val="BodyText"/>
      </w:pPr>
      <w:r>
        <w:t xml:space="preserve">Meiocyte spreads were incubated with antibody protocol / Immunohistochemistry was based on that in Anderson et al. (1999) and Koehler et al. (2002).</w:t>
      </w:r>
    </w:p>
    <w:p>
      <w:pPr>
        <w:pStyle w:val="BodyText"/>
      </w:pPr>
      <w:r>
        <w:t xml:space="preserve">To visualize chromosomes/chromatin in the meiocytes – we used markers for the centromere (CREST) and lateral element of of the SC (SYCP3). Double strand breaks (DSB) and COs were visualized with DMC1 and MLH1 respectively.</w:t>
      </w:r>
    </w:p>
    <w:p>
      <w:pPr>
        <w:pStyle w:val="BodyText"/>
      </w:pPr>
      <w:r>
        <w:t xml:space="preserve">Antibodies and slide blocking was performed in 1X antibody dilution buffer (ADB) (normal donkey serum (Jackson ImmnuoResearch), 1X PBS, bovine serum albumin (Sigma), Triton X-100 (Sigma) ).</w:t>
      </w:r>
    </w:p>
    <w:p>
      <w:pPr>
        <w:pStyle w:val="BodyText"/>
      </w:pPr>
      <w:r>
        <w:t xml:space="preserve">Each slide was blocked for 30 minutes in ADB incubating with sixty ul of primary antibody master mix (60ul)</w:t>
      </w:r>
      <w:r>
        <w:t xml:space="preserve"> </w:t>
      </w:r>
      <w:r>
        <w:t xml:space="preserve">was in ADB and incubated for 48 hours at 37 degrees. The master mix was made (with a primary with polyclonal anti rabbit anti-MLH1 (Calbiochem; diluted 1:50) or anti rabbit anti-DMC1) – (</w:t>
      </w:r>
      <w:r>
        <w:rPr>
          <w:b/>
        </w:rPr>
        <w:t xml:space="preserve">mix of DMC1</w:t>
      </w:r>
      <w:r>
        <w:t xml:space="preserve">), anti goat polyclonal antibody to SYCP3, (Abcam; diluted 1:50), and anti-human polyclonal antibody to CREST (Antibodies, Inc; diluted 1:200)</w:t>
      </w:r>
    </w:p>
    <w:p>
      <w:pPr>
        <w:pStyle w:val="BodyText"/>
      </w:pPr>
      <w:r>
        <w:t xml:space="preserve">Slides were washed twice in 50ml ADB between primary and secondary antibody incubations.</w:t>
      </w:r>
    </w:p>
    <w:p>
      <w:pPr>
        <w:pStyle w:val="BodyText"/>
      </w:pPr>
      <w:r>
        <w:t xml:space="preserve">secondary antibodies master mix was made – Slides were incubated overnight at 37 degrees in Alexa Fluor 488 donkey anti-rabbit IgG (Invitrgoen, location; diluted to 1:100) and Coumarin AMCA donkey anti-human IgG (Jackson ImmunoResearch; diluted to 1:200).</w:t>
      </w:r>
    </w:p>
    <w:p>
      <w:pPr>
        <w:pStyle w:val="BodyText"/>
      </w:pPr>
      <w:r>
        <w:t xml:space="preserve">Alexa Fluor 568 donkey anti-goat (Invitrogen; diluted 1:100) was incubated at 1:100 for 2 hours at 37 degrees. Slides were washed in 1x PBS, dried, and fixed with Prolong Gold Antifade (Invitrogen) for at least 24 hours. Mice with at least 10 cells with good staining were included in our analysis.</w:t>
      </w:r>
    </w:p>
    <w:p>
      <w:pPr>
        <w:pStyle w:val="Heading3"/>
      </w:pPr>
      <w:bookmarkStart w:id="26" w:name="image-processing"/>
      <w:bookmarkEnd w:id="26"/>
      <w:r>
        <w:t xml:space="preserve">Image Processing</w:t>
      </w:r>
    </w:p>
    <w:p>
      <w:pPr>
        <w:pStyle w:val="FirstParagraph"/>
      </w:pPr>
      <w:r>
        <w:t xml:space="preserve">Images of cells were capture using a Zeiss Axioplan 2 microscope with AxioLab camera and Axio Vision software (Zeiss, Cambridge, UK). Preprocessing, including cropping, noise reduction, and histogram adjustments, was performed using Photoshop (v13.0). Image file names were anonymized before manual scoring of MLH1 or DMC1 foci using photoshop (cite).</w:t>
      </w:r>
    </w:p>
    <w:p>
      <w:pPr>
        <w:pStyle w:val="Heading3"/>
      </w:pPr>
      <w:bookmarkStart w:id="27" w:name="analysis"/>
      <w:bookmarkEnd w:id="27"/>
      <w:r>
        <w:t xml:space="preserve">Analysis</w:t>
      </w:r>
    </w:p>
    <w:p>
      <w:pPr>
        <w:pStyle w:val="Heading3"/>
      </w:pPr>
      <w:bookmarkStart w:id="28" w:name="dmc1"/>
      <w:bookmarkEnd w:id="28"/>
      <w:r>
        <w:t xml:space="preserve">DMC1</w:t>
      </w:r>
    </w:p>
    <w:p>
      <w:pPr>
        <w:pStyle w:val="FirstParagraph"/>
      </w:pPr>
    </w:p>
    <w:p>
      <w:pPr>
        <w:pStyle w:val="BodyText"/>
      </w:pPr>
      <w:r>
        <w:t xml:space="preserve">SC morphology was used to stage spermatocytes (as zygotene, leptotene, or pachtyene) (following X source). The means of</w:t>
      </w:r>
      <w:r>
        <w:t xml:space="preserve"> </w:t>
      </w:r>
      <w:r>
        <w:rPr>
          <w:b/>
        </w:rPr>
        <w:t xml:space="preserve">DMC1</w:t>
      </w:r>
      <w:r>
        <w:t xml:space="preserve"> </w:t>
      </w:r>
      <w:r>
        <w:t xml:space="preserve">foci per cell from a single mouse from a subset of srains</w:t>
      </w:r>
      <w:r>
        <w:t xml:space="preserve"> </w:t>
      </w:r>
      <w:r>
        <w:rPr>
          <w:i/>
        </w:rPr>
        <w:t xml:space="preserve">musculus</w:t>
      </w:r>
      <w:r>
        <w:rPr>
          <w:vertAlign w:val="superscript"/>
          <w:i/>
        </w:rPr>
        <w:t xml:space="preserve">PWD</w:t>
      </w:r>
      <w:r>
        <w:t xml:space="preserve">,</w:t>
      </w:r>
      <w:r>
        <w:t xml:space="preserve"> </w:t>
      </w:r>
      <w:r>
        <w:rPr>
          <w:i/>
        </w:rPr>
        <w:t xml:space="preserve">musculus</w:t>
      </w:r>
      <w:r>
        <w:rPr>
          <w:vertAlign w:val="superscript"/>
          <w:i/>
        </w:rPr>
        <w:t xml:space="preserve">MSM</w:t>
      </w:r>
      <w:r>
        <w:t xml:space="preserve">,</w:t>
      </w:r>
      <w:r>
        <w:t xml:space="preserve"> </w:t>
      </w:r>
      <w:r>
        <w:rPr>
          <w:i/>
        </w:rPr>
        <w:t xml:space="preserve">domesticus</w:t>
      </w:r>
      <w:r>
        <w:rPr>
          <w:vertAlign w:val="superscript"/>
          <w:i/>
        </w:rPr>
        <w:t xml:space="preserve">WSB</w:t>
      </w:r>
      <w:r>
        <w:t xml:space="preserve">, and</w:t>
      </w:r>
      <w:r>
        <w:t xml:space="preserve"> </w:t>
      </w:r>
      <w:r>
        <w:rPr>
          <w:i/>
        </w:rPr>
        <w:t xml:space="preserve">domesticus</w:t>
      </w:r>
      <w:r>
        <w:rPr>
          <w:vertAlign w:val="superscript"/>
          <w:i/>
        </w:rPr>
        <w:t xml:space="preserve">G</w:t>
      </w:r>
      <w:r>
        <w:t xml:space="preserve"> </w:t>
      </w:r>
      <w:r>
        <w:t xml:space="preserve">were tested by t-tests.</w:t>
      </w:r>
    </w:p>
    <w:p>
      <w:pPr>
        <w:pStyle w:val="Heading3"/>
      </w:pPr>
      <w:bookmarkStart w:id="29" w:name="mlh1"/>
      <w:bookmarkEnd w:id="29"/>
      <w:r>
        <w:t xml:space="preserve">MLH1</w:t>
      </w:r>
    </w:p>
    <w:p>
      <w:pPr>
        <w:pStyle w:val="FirstParagraph"/>
      </w:pPr>
      <w:r>
        <w:t xml:space="preserve">For</w:t>
      </w:r>
      <w:r>
        <w:t xml:space="preserve"> </w:t>
      </w:r>
      <w:r>
        <w:rPr>
          <w:b/>
        </w:rPr>
        <w:t xml:space="preserve">MLH1</w:t>
      </w:r>
      <w:r>
        <w:t xml:space="preserve"> </w:t>
      </w:r>
      <w:r>
        <w:t xml:space="preserve">pachytene quantification, cells with a full karyotype (19 acrocentric bivalents and XY for spermatocytes or 20 acrocentric bivalents for oocytes), distinct foci, and intact bivalents were included for quantification. (Quality score 1 to 5 ) based on foci brightness /staining and spreading of bivalents. The distributions of MLH1 counts per cell was assessed for normality (supplemental figure).</w:t>
      </w:r>
    </w:p>
    <w:p>
      <w:pPr>
        <w:pStyle w:val="BodyText"/>
      </w:pPr>
    </w:p>
    <w:p>
      <w:pPr>
        <w:pStyle w:val="BodyText"/>
      </w:pPr>
      <w:r>
        <w:t xml:space="preserve">The use of wild derived inbred strains enabled us to design an utilize a mixed model for our analytical framework. We built our model to predict the strain average MLH1 count per cell. The main effects and their interaction of subspecies and sex were coded as fixed. While, strain (or genetic background) was coded as a random effect to reflect a random sample of natural genetic variation from each subspecies. A strains to have a specific sex effect was also included.</w:t>
      </w:r>
    </w:p>
    <w:p>
      <w:pPr>
        <w:pStyle w:val="BodyText"/>
      </w:pPr>
      <w:r>
        <w:t xml:space="preserve">We applied the following models to analze several dependant variables: mouse average mlh1 count per cell, the mouse average of variance in crossover count per cell, mouse mean SC length, mouse mean IFD</w:t>
      </w:r>
      <w:r>
        <w:rPr>
          <w:vertAlign w:val="superscript"/>
        </w:rPr>
        <w:t xml:space="preserve">norm</w:t>
      </w:r>
      <w:r>
        <w:t xml:space="preserve"> </w:t>
      </w:r>
      <w:r>
        <w:t xml:space="preserve">and IFD</w:t>
      </w:r>
      <w:r>
        <w:rPr>
          <w:vertAlign w:val="superscript"/>
        </w:rPr>
        <w:t xml:space="preserve">raw</w:t>
      </w:r>
      <w:r>
        <w:t xml:space="preserve">, and X.</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e</m:t>
          </m:r>
          <m:r>
            <m:t>x</m:t>
          </m:r>
          <m:r>
            <m:t>*</m:t>
          </m:r>
          <m:r>
            <m:t>s</m:t>
          </m:r>
          <m:r>
            <m:t>t</m:t>
          </m:r>
          <m:r>
            <m:t>r</m:t>
          </m:r>
          <m:r>
            <m:t>a</m:t>
          </m:r>
          <m:r>
            <m:t>i</m:t>
          </m:r>
          <m:r>
            <m:t>n</m:t>
          </m:r>
          <m:r>
            <m:t>+</m:t>
          </m:r>
          <m:r>
            <m:t>ε</m:t>
          </m:r>
        </m:oMath>
      </m:oMathPara>
    </w:p>
    <w:p>
      <w:pPr>
        <w:pStyle w:val="FirstParagraph"/>
      </w:pPr>
      <w:r>
        <w:rPr>
          <w:b/>
        </w:rPr>
        <w:t xml:space="preserve">M4.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u</m:t>
          </m:r>
          <m:r>
            <m:t>b</m:t>
          </m:r>
          <m:r>
            <m:t>s</m:t>
          </m:r>
          <m:r>
            <m:t>p</m:t>
          </m:r>
          <m:r>
            <m:t>*</m:t>
          </m:r>
          <m:r>
            <m:t>s</m:t>
          </m:r>
          <m:r>
            <m:t>t</m:t>
          </m:r>
          <m:r>
            <m:t>r</m:t>
          </m:r>
          <m:r>
            <m:t>a</m:t>
          </m:r>
          <m:r>
            <m:t>i</m:t>
          </m:r>
          <m:r>
            <m:t>n</m:t>
          </m:r>
          <m:r>
            <m:t>+</m:t>
          </m:r>
          <m:r>
            <m:t>ε</m:t>
          </m:r>
        </m:oMath>
      </m:oMathPara>
    </w:p>
    <w:p>
      <w:pPr>
        <w:pStyle w:val="FirstParagraph"/>
      </w:pPr>
      <w:r>
        <w:t xml:space="preserve">This model allows us to estimate and test the fixed effects (sex and subsp), and variation in mean MLH1 counts due to strain effect. We use the subspecies term as a way to quantify between group variation (or divergence) and the random strain effect to quantify within group variation (or polymorphism). (in a sex specific manner). From the mixed model the estimates of heterochiasmy (sexual dimorphism) are a combination of subspecies and strain specific sex effects.</w:t>
      </w:r>
    </w:p>
    <w:p>
      <w:pPr>
        <w:pStyle w:val="BodyText"/>
      </w:pPr>
      <w:r>
        <w:t xml:space="preserve">We chose to use a</w:t>
      </w:r>
      <w:r>
        <w:t xml:space="preserve"> </w:t>
      </w:r>
      <w:r>
        <w:rPr>
          <w:b/>
        </w:rPr>
        <w:t xml:space="preserve">mixed model framework</w:t>
      </w:r>
      <w:r>
        <w:t xml:space="preserve"> </w:t>
      </w:r>
      <w:r>
        <w:t xml:space="preserve">to interpret the patterns of variation, built using the lmer4 package (cite) in R (v3.5.2)</w:t>
      </w:r>
      <w:r>
        <w:t xml:space="preserve">(Team 2015)</w:t>
      </w:r>
      <w:r>
        <w:t xml:space="preserve">.</w:t>
      </w:r>
      <w:r>
        <w:t xml:space="preserve"> </w:t>
      </w:r>
      <w:r>
        <w:t xml:space="preserve"> </w:t>
      </w:r>
    </w:p>
    <w:p>
      <w:pPr>
        <w:pStyle w:val="Heading3"/>
      </w:pPr>
      <w:bookmarkStart w:id="30" w:name="single-bivalent-charaecterization"/>
      <w:bookmarkEnd w:id="30"/>
      <w:r>
        <w:t xml:space="preserve">Single bivalent charaecterization</w:t>
      </w:r>
    </w:p>
    <w:p>
      <w:pPr>
        <w:pStyle w:val="FirstParagraph"/>
      </w:pPr>
    </w:p>
    <w:p>
      <w:pPr>
        <w:pStyle w:val="BodyText"/>
      </w:pPr>
      <w:r>
        <w:t xml:space="preserve">To quantify the SC area of indiviual cells and single chromosomes we applied the approaches discribed in</w:t>
      </w:r>
      <w:r>
        <w:t xml:space="preserve"> </w:t>
      </w:r>
      <w:r>
        <w:t xml:space="preserve">(Wang et al. 2019)</w:t>
      </w:r>
      <w:r>
        <w:t xml:space="preserve"> </w:t>
      </w:r>
      <w:r>
        <w:t xml:space="preserve">and</w:t>
      </w:r>
      <w:r>
        <w:t xml:space="preserve"> </w:t>
      </w:r>
      <w:r>
        <w:t xml:space="preserve">(Peterson, Miller, and Payseur 2019)</w:t>
      </w:r>
      <w:r>
        <w:t xml:space="preserve"> </w:t>
      </w:r>
      <w:r>
        <w:t xml:space="preserve">respectively. Both which apply a</w:t>
      </w:r>
      <w:r>
        <w:t xml:space="preserve"> </w:t>
      </w:r>
      <w:r>
        <w:t xml:space="preserve">‘</w:t>
      </w:r>
      <w:r>
        <w:t xml:space="preserve">skeletonizing</w:t>
      </w:r>
      <w:r>
        <w:t xml:space="preserve">’</w:t>
      </w:r>
      <w:r>
        <w:t xml:space="preserve"> </w:t>
      </w:r>
      <w:r>
        <w:t xml:space="preserve">transformation to the synapsed chromosomes, which transforms the elongatde chromosome space into a single pixel wide</w:t>
      </w:r>
      <w:r>
        <w:t xml:space="preserve"> </w:t>
      </w:r>
      <w:r>
        <w:t xml:space="preserve">‘</w:t>
      </w:r>
      <w:r>
        <w:t xml:space="preserve">trace</w:t>
      </w:r>
      <w:r>
        <w:t xml:space="preserve">’</w:t>
      </w:r>
      <w:r>
        <w:t xml:space="preserve"> </w:t>
      </w:r>
      <w:r>
        <w:t xml:space="preserve">of the originial chromosom shape. Hand measures of SC/pactyene / meiotic chromosomes generated by using ImageJ/Fiji (v1.52)</w:t>
      </w:r>
      <w:r>
        <w:t xml:space="preserve"> </w:t>
      </w:r>
      <w:r>
        <w:t xml:space="preserve">(Schindelin et al. 2012)</w:t>
      </w:r>
      <w:r>
        <w:t xml:space="preserve">.</w:t>
      </w:r>
    </w:p>
    <w:p>
      <w:pPr>
        <w:pStyle w:val="Heading5"/>
      </w:pPr>
      <w:bookmarkStart w:id="31" w:name="total-sc---wang"/>
      <w:bookmarkEnd w:id="31"/>
      <w:r>
        <w:t xml:space="preserve">total SC - Wang</w:t>
      </w:r>
    </w:p>
    <w:p>
      <w:pPr>
        <w:pStyle w:val="FirstParagraph"/>
      </w:pPr>
      <w:r>
        <w:t xml:space="preserve">As an additional metric of chromatin compaction, we computed the total (summed) SC length of all bivalents for single cells, using the image analysis algorithm of</w:t>
      </w:r>
      <w:r>
        <w:t xml:space="preserve"> </w:t>
      </w:r>
      <w:r>
        <w:t xml:space="preserve">(Wang et al. 2019)</w:t>
      </w:r>
      <w:r>
        <w:t xml:space="preserve">. Mouse means were calculated from cell-wide total SC lengths in 2,984 – 2984 out of 3,680 – 3680 cells with MLH1 counts (Figure X). the mouse average total sc was applied to the model framework.</w:t>
      </w:r>
      <w:r>
        <w:t xml:space="preserve"> </w:t>
      </w:r>
    </w:p>
    <w:p>
      <w:pPr>
        <w:pStyle w:val="Heading5"/>
      </w:pPr>
      <w:bookmarkStart w:id="32" w:name="dnacrossover"/>
      <w:bookmarkEnd w:id="32"/>
      <w:r>
        <w:t xml:space="preserve">DNACrossover</w:t>
      </w:r>
    </w:p>
    <w:p>
      <w:pPr>
        <w:pStyle w:val="FirstParagraph"/>
      </w:pPr>
      <w:r>
        <w:t xml:space="preserve">The DNACrossover algorithm is hosted on CyVerse, more detailed description in</w:t>
      </w:r>
      <w:r>
        <w:t xml:space="preserve"> </w:t>
      </w:r>
      <w:r>
        <w:t xml:space="preserve">Peterson, Miller, and Payseur (2019)</w:t>
      </w:r>
      <w:r>
        <w:t xml:space="preserve">. The DNA CrossOver algorithm isolated single chromosomes shapes from an image, in addition to returning the SC length and also measured the location of (green and blue signal along the single SC - reflecting MLH1 foci and cetromere signal respectively).</w:t>
      </w:r>
    </w:p>
    <w:p>
      <w:pPr>
        <w:pStyle w:val="BodyText"/>
      </w:pPr>
      <w:r>
        <w:t xml:space="preserve">This algorithm substantially speeds the accurate measurement of bivalents, but has the limitation that not all bivalents per cell can be isolated due to overlapping bivalents. In this dataset, isolation rates per cell range from 0.5076364 – 0.51 (molossinus</w:t>
      </w:r>
      <w:r>
        <w:rPr>
          <w:vertAlign w:val="superscript"/>
        </w:rPr>
        <w:t xml:space="preserve">MSM</w:t>
      </w:r>
      <w:r>
        <w:t xml:space="preserve"> </w:t>
      </w:r>
      <w:r>
        <w:t xml:space="preserve">male) to 0.7158857– 0.72 (musculus</w:t>
      </w:r>
      <w:r>
        <w:rPr>
          <w:vertAlign w:val="superscript"/>
        </w:rPr>
        <w:t xml:space="preserve">KAZ</w:t>
      </w:r>
      <w:r>
        <w:t xml:space="preserve"> </w:t>
      </w:r>
      <w:r>
        <w:t xml:space="preserve">female).</w:t>
      </w:r>
    </w:p>
    <w:p>
      <w:pPr>
        <w:pStyle w:val="BodyText"/>
      </w:pPr>
      <w:r>
        <w:rPr>
          <w:b/>
        </w:rPr>
        <w:t xml:space="preserve">curation step</w:t>
      </w:r>
      <w:r>
        <w:t xml:space="preserve"> </w:t>
      </w:r>
      <w:r>
        <w:t xml:space="preserve">From the total set of cell images, 10458 – 10,458 bivalent objects were isolated by the image analysis software. After a human curation step (</w:t>
      </w:r>
      <w:r>
        <w:t xml:space="preserve">(Peterson, Miller, and Payseur 2019)</w:t>
      </w:r>
      <w:r>
        <w:t xml:space="preserve">), 9829 – 9,829 single-bivalent observations remained.</w:t>
      </w:r>
    </w:p>
    <w:p>
      <w:pPr>
        <w:pStyle w:val="BodyText"/>
      </w:pPr>
      <w:r>
        <w:t xml:space="preserve">To better understand the whole genome rec landscap – we charecterizaed the number of crossover/MLH1 foci on single chromosomes (from the curated bivalent dataset).</w:t>
      </w:r>
    </w:p>
    <w:p>
      <w:pPr>
        <w:pStyle w:val="BodyText"/>
      </w:pPr>
      <w:r>
        <w:t xml:space="preserve">We defined/classified each bivalent into a</w:t>
      </w:r>
      <w:r>
        <w:t xml:space="preserve"> </w:t>
      </w:r>
      <w:r>
        <w:t xml:space="preserve">‘</w:t>
      </w:r>
      <w:r>
        <w:t xml:space="preserve">class</w:t>
      </w:r>
      <w:r>
        <w:t xml:space="preserve">’</w:t>
      </w:r>
      <w:r>
        <w:t xml:space="preserve"> </w:t>
      </w:r>
      <w:r>
        <w:t xml:space="preserve">based on the number of MLH1 foci (range X to X). The</w:t>
      </w:r>
      <w:r>
        <w:t xml:space="preserve"> </w:t>
      </w:r>
      <w:r>
        <w:rPr>
          <w:b/>
        </w:rPr>
        <w:t xml:space="preserve">chromosome class proportions</w:t>
      </w:r>
      <w:r>
        <w:t xml:space="preserve"> </w:t>
      </w:r>
      <w:r>
        <w:t xml:space="preserve">different chromosome classes per strains by sex were tested with chi-sqaure tests with the prop.test function.</w:t>
      </w:r>
    </w:p>
    <w:p>
      <w:pPr>
        <w:pStyle w:val="Heading1"/>
      </w:pPr>
      <w:bookmarkStart w:id="33" w:name="main-traits"/>
      <w:bookmarkEnd w:id="33"/>
      <w:r>
        <w:t xml:space="preserve">main traits</w:t>
      </w:r>
    </w:p>
    <w:p>
      <w:pPr>
        <w:pStyle w:val="FirstParagraph"/>
      </w:pPr>
      <w:r>
        <w:t xml:space="preserve">chrm chrteriztions – SC length (chromatin compaction), foci position(raw and normalized), and interfocal distance,</w:t>
      </w:r>
      <w:r>
        <w:t xml:space="preserve"> </w:t>
      </w:r>
      <w:r>
        <w:t xml:space="preserve">these traits were fit into the main models (as mentioned above) … t.tests were used to test between sexes and groups</w:t>
      </w:r>
    </w:p>
    <w:p>
      <w:pPr>
        <w:pStyle w:val="BodyText"/>
      </w:pPr>
      <w:r>
        <w:rPr>
          <w:b/>
        </w:rPr>
        <w:t xml:space="preserve">CO Interferecne</w:t>
      </w:r>
      <w:r>
        <w:t xml:space="preserve"> </w:t>
      </w:r>
      <w:r>
        <w:t xml:space="preserve">– Our primary mode of examining interference is to compared the interfocal disatnces (IFDs) (raw and normalized by SC length.) – Gamma parameter v has historically been used to charaecterize interference and was calculated using</w:t>
      </w:r>
      <w:r>
        <w:t xml:space="preserve"> </w:t>
      </w:r>
      <w:r>
        <w:t xml:space="preserve">.</w:t>
      </w:r>
    </w:p>
    <w:p>
      <w:pPr>
        <w:pStyle w:val="BodyText"/>
      </w:pPr>
      <w:r>
        <w:rPr>
          <w:b/>
        </w:rPr>
        <w:t xml:space="preserve">SC Length model</w:t>
      </w:r>
    </w:p>
    <w:p>
      <w:pPr>
        <w:numPr>
          <w:numId w:val="1001"/>
          <w:ilvl w:val="0"/>
        </w:numPr>
      </w:pPr>
      <w:r>
        <w:rPr>
          <w:b/>
        </w:rPr>
        <w:t xml:space="preserve">Linear model M1</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b</m:t>
          </m:r>
          <m:r>
            <m:t>i</m:t>
          </m:r>
          <m:r>
            <m:t>v</m:t>
          </m:r>
          <m:r>
            <m:t>a</m:t>
          </m:r>
          <m:r>
            <m:t>l</m:t>
          </m:r>
          <m:r>
            <m:t>e</m:t>
          </m:r>
          <m:r>
            <m:t>n</m:t>
          </m:r>
          <m:r>
            <m:t>t</m:t>
          </m:r>
          <m:r>
            <m:t>m</m:t>
          </m:r>
          <m:r>
            <m:t>e</m:t>
          </m:r>
          <m:r>
            <m:t>t</m:t>
          </m:r>
          <m:r>
            <m:t>r</m:t>
          </m:r>
          <m:r>
            <m:t>i</m:t>
          </m:r>
          <m:r>
            <m:t>c</m:t>
          </m:r>
          <m:r>
            <m:t> </m:t>
          </m:r>
          <m:r>
            <m:t>=</m:t>
          </m:r>
          <m:r>
            <m:t> </m:t>
          </m:r>
          <m:r>
            <m:t>s</m:t>
          </m:r>
          <m:r>
            <m:t>u</m:t>
          </m:r>
          <m:r>
            <m:t>b</m:t>
          </m:r>
          <m:r>
            <m:t>s</m:t>
          </m:r>
          <m:r>
            <m:t>p</m:t>
          </m:r>
          <m:r>
            <m:t>*</m:t>
          </m:r>
          <m:r>
            <m:t>s</m:t>
          </m:r>
          <m:r>
            <m:t>t</m:t>
          </m:r>
          <m:r>
            <m:t>r</m:t>
          </m:r>
          <m:r>
            <m:t>a</m:t>
          </m:r>
          <m:r>
            <m:t>i</m:t>
          </m:r>
          <m:r>
            <m:t>n</m:t>
          </m:r>
          <m:r>
            <m:t>+</m:t>
          </m:r>
          <m:r>
            <m:t>ε</m:t>
          </m:r>
        </m:oMath>
      </m:oMathPara>
    </w:p>
    <w:p>
      <w:pPr>
        <w:numPr>
          <w:numId w:val="1001"/>
          <w:ilvl w:val="0"/>
        </w:numPr>
      </w:pPr>
      <w:r>
        <w:rPr>
          <w:b/>
        </w:rPr>
        <w:t xml:space="preserve">Linear model M2</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b</m:t>
          </m:r>
          <m:r>
            <m:t>i</m:t>
          </m:r>
          <m:r>
            <m:t>v</m:t>
          </m:r>
          <m:r>
            <m:t>a</m:t>
          </m:r>
          <m:r>
            <m:t>l</m:t>
          </m:r>
          <m:r>
            <m:t>e</m:t>
          </m:r>
          <m:r>
            <m:t>n</m:t>
          </m:r>
          <m:r>
            <m:t>t</m:t>
          </m:r>
          <m:r>
            <m:t>m</m:t>
          </m:r>
          <m:r>
            <m:t>e</m:t>
          </m:r>
          <m:r>
            <m:t>t</m:t>
          </m:r>
          <m:r>
            <m:t>r</m:t>
          </m:r>
          <m:r>
            <m:t>i</m:t>
          </m:r>
          <m:r>
            <m:t>c</m:t>
          </m:r>
          <m:r>
            <m:t> </m:t>
          </m:r>
          <m:r>
            <m:t>=</m:t>
          </m:r>
          <m:r>
            <m:t> </m:t>
          </m:r>
          <m:r>
            <m:t>s</m:t>
          </m:r>
          <m:r>
            <m:t>t</m:t>
          </m:r>
          <m:r>
            <m:t>r</m:t>
          </m:r>
          <m:r>
            <m:t>a</m:t>
          </m:r>
          <m:r>
            <m:t>i</m:t>
          </m:r>
          <m:r>
            <m:t>n</m:t>
          </m:r>
          <m:r>
            <m:t>+</m:t>
          </m:r>
          <m:r>
            <m:t>ε</m:t>
          </m:r>
        </m:oMath>
      </m:oMathPara>
    </w:p>
    <w:p>
      <w:pPr>
        <w:pStyle w:val="FirstParagraph"/>
      </w:pPr>
      <w:r>
        <w:rPr>
          <w:b/>
        </w:rPr>
        <w:t xml:space="preserve">IFD, Interference</w:t>
      </w:r>
    </w:p>
    <w:p>
      <w:pPr>
        <w:pStyle w:val="BodyText"/>
      </w:pPr>
      <w:r>
        <w:t xml:space="preserve">In order to examine interference, Interfocal distance was measured from the single bivalent data sets.</w:t>
      </w:r>
      <w:r>
        <w:t xml:space="preserve"> </w:t>
      </w:r>
      <w:r>
        <w:t xml:space="preserve">- 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r>
        <w:t xml:space="preserve"> </w:t>
      </w:r>
      <w:r>
        <w:rPr>
          <w:b/>
        </w:rPr>
        <w:t xml:space="preserve">IFD</w:t>
      </w:r>
      <w:r>
        <w:rPr>
          <w:vertAlign w:val="superscript"/>
          <w:b/>
        </w:rPr>
        <w:t xml:space="preserve">norm</w:t>
      </w:r>
    </w:p>
    <w:p>
      <w:pPr>
        <w:pStyle w:val="BodyText"/>
      </w:pPr>
      <w:r>
        <w:rPr>
          <w:b/>
        </w:rPr>
        <w:t xml:space="preserve">REDUCED DATASET</w:t>
      </w:r>
    </w:p>
    <w:p>
      <w:pPr>
        <w:pStyle w:val="BodyText"/>
      </w:pPr>
      <w:r>
        <w:t xml:space="preserve">To account for confounding effects of sex chromosomes from pooled samples of bivalents, we considered a reduced dataset including only bivalents with SC lengths below the 2nd quartile (for SC length) in each cell. This dataset included the four or five shortest bivalents and excluded the X bivalent in oocytes. A total of 678 – 678</w:t>
      </w:r>
      <w:r>
        <w:t xml:space="preserve"> </w:t>
      </w:r>
      <w:r>
        <w:t xml:space="preserve">‘</w:t>
      </w:r>
      <w:r>
        <w:t xml:space="preserve">short</w:t>
      </w:r>
      <w:r>
        <w:t xml:space="preserve">’</w:t>
      </w:r>
      <w:r>
        <w:t xml:space="preserve"> </w:t>
      </w:r>
      <w:r>
        <w:t xml:space="preserve">bivalents were isolated from 103 – 103 oocytes and 37 – 37 spermatocytes. Although this smaller dataset has decreased power, it offers a more comparable set of single bivalents to compare between the sexes.</w:t>
      </w:r>
    </w:p>
    <w:p>
      <w:pPr>
        <w:pStyle w:val="Compact"/>
        <w:numPr>
          <w:numId w:val="1002"/>
          <w:ilvl w:val="0"/>
        </w:numPr>
      </w:pPr>
      <w:r>
        <w:t xml:space="preserve">The long bivalent and short bivalent data sets were compiled by calculating the 1st and 4th quartille of SC lengths for each cell with at least 16 bivalent measures. Bivalents from each cell were assigned into the long and short bins based on these SC Length cut offs.</w:t>
      </w:r>
    </w:p>
    <w:p>
      <w:pPr>
        <w:pStyle w:val="FirstParagraph"/>
      </w:pPr>
      <w:r>
        <w:t xml:space="preserve">Using the single bivalent dataset, the within cell distribution of bivalent SC lengths from cells with at least 17 isolated chromosome measures. The longest and shortest 4 to 5 chromosomes within each cell were identified by qualqulating the fourth and second quartille. (these comprised the short and long bivalent datasets).</w:t>
      </w:r>
    </w:p>
    <w:p>
      <w:pPr>
        <w:pStyle w:val="Heading1"/>
      </w:pPr>
      <w:bookmarkStart w:id="34" w:name="references"/>
      <w:bookmarkEnd w:id="34"/>
      <w:r>
        <w:t xml:space="preserve">References</w:t>
      </w:r>
    </w:p>
    <w:p>
      <w:pPr>
        <w:pStyle w:val="Bibliography"/>
      </w:pPr>
      <w:r>
        <w:t xml:space="preserve">Peters, Antoine HFM, Annemieke W. Plug, Martine J. van Vugt, and Peter De Boer. 1997. “SHORT COMMUNICATIONS A Drying-down Technique for the Spreading of Mammalian Meiocytes from the Male and Female Germline.”</w:t>
      </w:r>
      <w:r>
        <w:t xml:space="preserve"> </w:t>
      </w:r>
      <w:r>
        <w:rPr>
          <w:i/>
        </w:rPr>
        <w:t xml:space="preserve">Chromosome Research</w:t>
      </w:r>
      <w:r>
        <w:t xml:space="preserve"> </w:t>
      </w:r>
      <w:r>
        <w:t xml:space="preserve">5 (1): 66–68.</w:t>
      </w:r>
    </w:p>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Nature Publishing Group: 442–57.</w:t>
      </w:r>
    </w:p>
    <w:p>
      <w:pPr>
        <w:pStyle w:val="Bibliography"/>
      </w:pPr>
      <w:r>
        <w:t xml:space="preserve">Schindelin, Johannes, Ignacio Arganda-Carreras, Erwin Frise, Verena Kaynig, Mark Longair, Tobias Pietzsch, Stephan Preibisch, Curtis Rueden, Stephan Saalfeld, and Benjamin Schmid. 2012. “Fiji: An Open-Source Platform for Biological-Image Analysis.”</w:t>
      </w:r>
      <w:r>
        <w:t xml:space="preserve"> </w:t>
      </w:r>
      <w:r>
        <w:rPr>
          <w:i/>
        </w:rPr>
        <w:t xml:space="preserve">Nature Methods</w:t>
      </w:r>
      <w:r>
        <w:t xml:space="preserve"> </w:t>
      </w:r>
      <w:r>
        <w:t xml:space="preserve">9 (7): 676.</w:t>
      </w:r>
    </w:p>
    <w:p>
      <w:pPr>
        <w:pStyle w:val="Bibliography"/>
      </w:pPr>
      <w:r>
        <w:t xml:space="preserve">Team, RStudio. 2015. “RStudio: Integrated Development Environment for R.” Boston, MA.</w:t>
      </w:r>
      <w:r>
        <w:t xml:space="preserve"> </w:t>
      </w:r>
      <w:hyperlink r:id="rId35">
        <w:r>
          <w:rPr>
            <w:rStyle w:val="Hyperlink"/>
          </w:rPr>
          <w:t xml:space="preserve">http://www.rstudio.com</w:t>
        </w:r>
      </w:hyperlink>
      <w:r>
        <w:t xml:space="preserve">.</w:t>
      </w:r>
    </w:p>
    <w:p>
      <w:pPr>
        <w:pStyle w:val="Bibliography"/>
      </w:pPr>
      <w:r>
        <w:t xml:space="preserve">Wang, RJ, BL Dumont, P Jing, and BA Payseur. 2019. “A First Genetic Portrait of Synaptonemal Complex Variation.”</w:t>
      </w:r>
      <w:r>
        <w:t xml:space="preserve"> </w:t>
      </w:r>
      <w:r>
        <w:rPr>
          <w:i/>
        </w:rPr>
        <w:t xml:space="preserve">PLoS Genetics</w:t>
      </w:r>
      <w:r>
        <w:t xml:space="preserve"> </w:t>
      </w:r>
      <w:r>
        <w:t xml:space="preserve">15 (8): e1008337–e1008337.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682c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6fc4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www.rstudio.com" TargetMode="External" /><Relationship Type="http://schemas.openxmlformats.org/officeDocument/2006/relationships/hyperlink" Id="rId23" Target="https://en.brc.riken.jp" TargetMode="External" /><Relationship Type="http://schemas.openxmlformats.org/officeDocument/2006/relationships/hyperlink" Id="rId24" Target="https://www.jax.org" TargetMode="External" /></Relationships>
</file>

<file path=word/_rels/footnotes.xml.rels><?xml version="1.0" encoding="UTF-8"?>
<Relationships xmlns="http://schemas.openxmlformats.org/package/2006/relationships"><Relationship Type="http://schemas.openxmlformats.org/officeDocument/2006/relationships/hyperlink" Id="rId35" Target="http://www.rstudio.com" TargetMode="External" /><Relationship Type="http://schemas.openxmlformats.org/officeDocument/2006/relationships/hyperlink" Id="rId23" Target="https://en.brc.riken.jp" TargetMode="External" /><Relationship Type="http://schemas.openxmlformats.org/officeDocument/2006/relationships/hyperlink" Id="rId24" Target="https://www.ja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2020-04-17T22:14:28Z</dcterms:created>
  <dcterms:modified xsi:type="dcterms:W3CDTF">2020-04-17T22:14:28Z</dcterms:modified>
</cp:coreProperties>
</file>