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4.png" ContentType="image/png"/>
  <Override PartName="/word/media/rId30.png" ContentType="image/png"/>
  <Override PartName="/word/media/rId31.png" ContentType="image/png"/>
  <Override PartName="/word/media/rId40.png" ContentType="image/png"/>
  <Override PartName="/word/media/rId38.png" ContentType="image/png"/>
  <Override PartName="/word/media/rId3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null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three.plot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5000.0"/>
        <w:tblLook w:firstRow="1"/>
      </w:tblPr>
      <w:tblGrid>
        <w:gridCol w:w="910"/>
        <w:gridCol w:w="819"/>
        <w:gridCol w:w="819"/>
        <w:gridCol w:w="728"/>
        <w:gridCol w:w="819"/>
        <w:gridCol w:w="910"/>
        <w:gridCol w:w="728"/>
        <w:gridCol w:w="728"/>
        <w:gridCol w:w="728"/>
        <w:gridCol w:w="728"/>
      </w:tblGrid>
      <w:tr>
        <w:trPr>
          <w:cnfStyle w:firstRow="1"/>
        </w:trPr>
        <w:tc>
          <w:tcPr>
            <w:tcBorders>
              <w:bottom w:val="single"/>
            </w:tcBorders>
            <w:vAlign w:val="bottom"/>
          </w:tcPr>
          <w:p>
            <w:pPr>
              <w:pStyle w:val="Compact"/>
              <w:jc w:val="center"/>
            </w:pPr>
            <w:r>
              <w:t xml:space="preserve">subsp</w:t>
            </w:r>
          </w:p>
        </w:tc>
        <w:tc>
          <w:tcPr>
            <w:tcBorders>
              <w:bottom w:val="single"/>
            </w:tcBorders>
            <w:vAlign w:val="bottom"/>
          </w:tcPr>
          <w:p>
            <w:pPr>
              <w:pStyle w:val="Compact"/>
              <w:jc w:val="center"/>
            </w:pPr>
            <w:r>
              <w:t xml:space="preserve">strain</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Nmice</w:t>
            </w:r>
          </w:p>
        </w:tc>
        <w:tc>
          <w:tcPr>
            <w:tcBorders>
              <w:bottom w:val="single"/>
            </w:tcBorders>
            <w:vAlign w:val="bottom"/>
          </w:tcPr>
          <w:p>
            <w:pPr>
              <w:pStyle w:val="Compact"/>
              <w:jc w:val="center"/>
            </w:pPr>
            <w:r>
              <w:t xml:space="preserve">Ncells</w:t>
            </w:r>
          </w:p>
        </w:tc>
        <w:tc>
          <w:tcPr>
            <w:tcBorders>
              <w:bottom w:val="single"/>
            </w:tcBorders>
            <w:vAlign w:val="bottom"/>
          </w:tcPr>
          <w:p>
            <w:pPr>
              <w:pStyle w:val="Compact"/>
              <w:jc w:val="center"/>
            </w:pPr>
            <w:r>
              <w:t xml:space="preserve">mean_co</w:t>
            </w:r>
          </w:p>
        </w:tc>
        <w:tc>
          <w:tcPr>
            <w:tcBorders>
              <w:bottom w:val="single"/>
            </w:tcBorders>
            <w:vAlign w:val="bottom"/>
          </w:tcPr>
          <w:p>
            <w:pPr>
              <w:pStyle w:val="Compact"/>
              <w:jc w:val="center"/>
            </w:pPr>
            <w:r>
              <w:t xml:space="preserve">cV</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se</w:t>
            </w:r>
          </w:p>
        </w:tc>
      </w:tr>
      <w:tr>
        <w:tc>
          <w:p>
            <w:pPr>
              <w:pStyle w:val="Compact"/>
              <w:jc w:val="center"/>
            </w:pPr>
            <w:r>
              <w:t xml:space="preserve">Dom</w:t>
            </w:r>
          </w:p>
        </w:tc>
        <w:tc>
          <w:p>
            <w:pPr>
              <w:pStyle w:val="Compact"/>
              <w:jc w:val="center"/>
            </w:pPr>
            <w:r>
              <w:t xml:space="preserve">WSB</w:t>
            </w:r>
          </w:p>
        </w:tc>
        <w:tc>
          <w:p>
            <w:pPr>
              <w:pStyle w:val="Compact"/>
              <w:jc w:val="center"/>
            </w:pPr>
            <w:r>
              <w:t xml:space="preserve">female</w:t>
            </w:r>
          </w:p>
        </w:tc>
        <w:tc>
          <w:p>
            <w:pPr>
              <w:pStyle w:val="Compact"/>
              <w:jc w:val="center"/>
            </w:pPr>
            <w:r>
              <w:t xml:space="preserve">14</w:t>
            </w:r>
          </w:p>
        </w:tc>
        <w:tc>
          <w:p>
            <w:pPr>
              <w:pStyle w:val="Compact"/>
              <w:jc w:val="center"/>
            </w:pPr>
            <w:r>
              <w:t xml:space="preserve">184</w:t>
            </w:r>
          </w:p>
        </w:tc>
        <w:tc>
          <w:p>
            <w:pPr>
              <w:pStyle w:val="Compact"/>
              <w:jc w:val="center"/>
            </w:pPr>
            <w:r>
              <w:t xml:space="preserve">24.7</w:t>
            </w:r>
          </w:p>
        </w:tc>
        <w:tc>
          <w:p>
            <w:pPr>
              <w:pStyle w:val="Compact"/>
              <w:jc w:val="center"/>
            </w:pPr>
            <w:r>
              <w:t xml:space="preserve">14.64</w:t>
            </w:r>
          </w:p>
        </w:tc>
        <w:tc>
          <w:p>
            <w:pPr>
              <w:pStyle w:val="Compact"/>
              <w:jc w:val="center"/>
            </w:pPr>
            <w:r>
              <w:t xml:space="preserve">13.07</w:t>
            </w:r>
          </w:p>
        </w:tc>
        <w:tc>
          <w:p>
            <w:pPr>
              <w:pStyle w:val="Compact"/>
              <w:jc w:val="center"/>
            </w:pPr>
            <w:r>
              <w:t xml:space="preserve">3.616</w:t>
            </w:r>
          </w:p>
        </w:tc>
        <w:tc>
          <w:p>
            <w:pPr>
              <w:pStyle w:val="Compact"/>
              <w:jc w:val="center"/>
            </w:pPr>
            <w:r>
              <w:t xml:space="preserve">0.267</w:t>
            </w:r>
          </w:p>
        </w:tc>
      </w:tr>
      <w:tr>
        <w:tc>
          <w:p>
            <w:pPr>
              <w:pStyle w:val="Compact"/>
              <w:jc w:val="center"/>
            </w:pPr>
            <w:r>
              <w:t xml:space="preserve">Dom</w:t>
            </w:r>
          </w:p>
        </w:tc>
        <w:tc>
          <w:p>
            <w:pPr>
              <w:pStyle w:val="Compact"/>
              <w:jc w:val="center"/>
            </w:pPr>
            <w:r>
              <w:t xml:space="preserve">WSB</w:t>
            </w:r>
          </w:p>
        </w:tc>
        <w:tc>
          <w:p>
            <w:pPr>
              <w:pStyle w:val="Compact"/>
              <w:jc w:val="center"/>
            </w:pPr>
            <w:r>
              <w:t xml:space="preserve">male</w:t>
            </w:r>
          </w:p>
        </w:tc>
        <w:tc>
          <w:p>
            <w:pPr>
              <w:pStyle w:val="Compact"/>
              <w:jc w:val="center"/>
            </w:pPr>
            <w:r>
              <w:t xml:space="preserve">11</w:t>
            </w:r>
          </w:p>
        </w:tc>
        <w:tc>
          <w:p>
            <w:pPr>
              <w:pStyle w:val="Compact"/>
              <w:jc w:val="center"/>
            </w:pPr>
            <w:r>
              <w:t xml:space="preserve">222</w:t>
            </w:r>
          </w:p>
        </w:tc>
        <w:tc>
          <w:p>
            <w:pPr>
              <w:pStyle w:val="Compact"/>
              <w:jc w:val="center"/>
            </w:pPr>
            <w:r>
              <w:t xml:space="preserve">23.38</w:t>
            </w:r>
          </w:p>
        </w:tc>
        <w:tc>
          <w:p>
            <w:pPr>
              <w:pStyle w:val="Compact"/>
              <w:jc w:val="center"/>
            </w:pPr>
            <w:r>
              <w:t xml:space="preserve">11.48</w:t>
            </w:r>
          </w:p>
        </w:tc>
        <w:tc>
          <w:p>
            <w:pPr>
              <w:pStyle w:val="Compact"/>
              <w:jc w:val="center"/>
            </w:pPr>
            <w:r>
              <w:t xml:space="preserve">7.206</w:t>
            </w:r>
          </w:p>
        </w:tc>
        <w:tc>
          <w:p>
            <w:pPr>
              <w:pStyle w:val="Compact"/>
              <w:jc w:val="center"/>
            </w:pPr>
            <w:r>
              <w:t xml:space="preserve">2.684</w:t>
            </w:r>
          </w:p>
        </w:tc>
        <w:tc>
          <w:p>
            <w:pPr>
              <w:pStyle w:val="Compact"/>
              <w:jc w:val="center"/>
            </w:pPr>
            <w:r>
              <w:t xml:space="preserve">0.18</w:t>
            </w:r>
          </w:p>
        </w:tc>
      </w:tr>
      <w:tr>
        <w:tc>
          <w:p>
            <w:pPr>
              <w:pStyle w:val="Compact"/>
              <w:jc w:val="center"/>
            </w:pPr>
            <w:r>
              <w:t xml:space="preserve">Dom</w:t>
            </w:r>
          </w:p>
        </w:tc>
        <w:tc>
          <w:p>
            <w:pPr>
              <w:pStyle w:val="Compact"/>
              <w:jc w:val="center"/>
            </w:pPr>
            <w:r>
              <w:t xml:space="preserve">G</w:t>
            </w:r>
          </w:p>
        </w:tc>
        <w:tc>
          <w:p>
            <w:pPr>
              <w:pStyle w:val="Compact"/>
              <w:jc w:val="center"/>
            </w:pPr>
            <w:r>
              <w:t xml:space="preserve">female</w:t>
            </w:r>
          </w:p>
        </w:tc>
        <w:tc>
          <w:p>
            <w:pPr>
              <w:pStyle w:val="Compact"/>
              <w:jc w:val="center"/>
            </w:pPr>
            <w:r>
              <w:t xml:space="preserve">12</w:t>
            </w:r>
          </w:p>
        </w:tc>
        <w:tc>
          <w:p>
            <w:pPr>
              <w:pStyle w:val="Compact"/>
              <w:jc w:val="center"/>
            </w:pPr>
            <w:r>
              <w:t xml:space="preserve">318</w:t>
            </w:r>
          </w:p>
        </w:tc>
        <w:tc>
          <w:p>
            <w:pPr>
              <w:pStyle w:val="Compact"/>
              <w:jc w:val="center"/>
            </w:pPr>
            <w:r>
              <w:t xml:space="preserve">28.21</w:t>
            </w:r>
          </w:p>
        </w:tc>
        <w:tc>
          <w:p>
            <w:pPr>
              <w:pStyle w:val="Compact"/>
              <w:jc w:val="center"/>
            </w:pPr>
            <w:r>
              <w:t xml:space="preserve">14.84</w:t>
            </w:r>
          </w:p>
        </w:tc>
        <w:tc>
          <w:p>
            <w:pPr>
              <w:pStyle w:val="Compact"/>
              <w:jc w:val="center"/>
            </w:pPr>
            <w:r>
              <w:t xml:space="preserve">17.52</w:t>
            </w:r>
          </w:p>
        </w:tc>
        <w:tc>
          <w:p>
            <w:pPr>
              <w:pStyle w:val="Compact"/>
              <w:jc w:val="center"/>
            </w:pPr>
            <w:r>
              <w:t xml:space="preserve">4.185</w:t>
            </w:r>
          </w:p>
        </w:tc>
        <w:tc>
          <w:p>
            <w:pPr>
              <w:pStyle w:val="Compact"/>
              <w:jc w:val="center"/>
            </w:pPr>
            <w:r>
              <w:t xml:space="preserve">0.235</w:t>
            </w:r>
          </w:p>
        </w:tc>
      </w:tr>
      <w:tr>
        <w:tc>
          <w:p>
            <w:pPr>
              <w:pStyle w:val="Compact"/>
              <w:jc w:val="center"/>
            </w:pPr>
            <w:r>
              <w:t xml:space="preserve">Dom</w:t>
            </w:r>
          </w:p>
        </w:tc>
        <w:tc>
          <w:p>
            <w:pPr>
              <w:pStyle w:val="Compact"/>
              <w:jc w:val="center"/>
            </w:pPr>
            <w:r>
              <w:t xml:space="preserve">G</w:t>
            </w:r>
          </w:p>
        </w:tc>
        <w:tc>
          <w:p>
            <w:pPr>
              <w:pStyle w:val="Compact"/>
              <w:jc w:val="center"/>
            </w:pPr>
            <w:r>
              <w:t xml:space="preserve">male</w:t>
            </w:r>
          </w:p>
        </w:tc>
        <w:tc>
          <w:p>
            <w:pPr>
              <w:pStyle w:val="Compact"/>
              <w:jc w:val="center"/>
            </w:pPr>
            <w:r>
              <w:t xml:space="preserve">18</w:t>
            </w:r>
          </w:p>
        </w:tc>
        <w:tc>
          <w:p>
            <w:pPr>
              <w:pStyle w:val="Compact"/>
              <w:jc w:val="center"/>
            </w:pPr>
            <w:r>
              <w:t xml:space="preserve">355</w:t>
            </w:r>
          </w:p>
        </w:tc>
        <w:tc>
          <w:p>
            <w:pPr>
              <w:pStyle w:val="Compact"/>
              <w:jc w:val="center"/>
            </w:pPr>
            <w:r>
              <w:t xml:space="preserve">23.16</w:t>
            </w:r>
          </w:p>
        </w:tc>
        <w:tc>
          <w:p>
            <w:pPr>
              <w:pStyle w:val="Compact"/>
              <w:jc w:val="center"/>
            </w:pPr>
            <w:r>
              <w:t xml:space="preserve">11.35</w:t>
            </w:r>
          </w:p>
        </w:tc>
        <w:tc>
          <w:p>
            <w:pPr>
              <w:pStyle w:val="Compact"/>
              <w:jc w:val="center"/>
            </w:pPr>
            <w:r>
              <w:t xml:space="preserve">6.915</w:t>
            </w:r>
          </w:p>
        </w:tc>
        <w:tc>
          <w:p>
            <w:pPr>
              <w:pStyle w:val="Compact"/>
              <w:jc w:val="center"/>
            </w:pPr>
            <w:r>
              <w:t xml:space="preserve">2.63</w:t>
            </w:r>
          </w:p>
        </w:tc>
        <w:tc>
          <w:p>
            <w:pPr>
              <w:pStyle w:val="Compact"/>
              <w:jc w:val="center"/>
            </w:pPr>
            <w:r>
              <w:t xml:space="preserve">0.14</w:t>
            </w:r>
          </w:p>
        </w:tc>
      </w:tr>
      <w:tr>
        <w:tc>
          <w:p>
            <w:pPr>
              <w:pStyle w:val="Compact"/>
              <w:jc w:val="center"/>
            </w:pPr>
            <w:r>
              <w:t xml:space="preserve">Dom</w:t>
            </w:r>
          </w:p>
        </w:tc>
        <w:tc>
          <w:p>
            <w:pPr>
              <w:pStyle w:val="Compact"/>
              <w:jc w:val="center"/>
            </w:pPr>
            <w:r>
              <w:t xml:space="preserve">LEW</w:t>
            </w:r>
          </w:p>
        </w:tc>
        <w:tc>
          <w:p>
            <w:pPr>
              <w:pStyle w:val="Compact"/>
              <w:jc w:val="center"/>
            </w:pPr>
            <w:r>
              <w:t xml:space="preserve">female</w:t>
            </w:r>
          </w:p>
        </w:tc>
        <w:tc>
          <w:p>
            <w:pPr>
              <w:pStyle w:val="Compact"/>
              <w:jc w:val="center"/>
            </w:pPr>
            <w:r>
              <w:t xml:space="preserve">9</w:t>
            </w:r>
          </w:p>
        </w:tc>
        <w:tc>
          <w:p>
            <w:pPr>
              <w:pStyle w:val="Compact"/>
              <w:jc w:val="center"/>
            </w:pPr>
            <w:r>
              <w:t xml:space="preserve">147</w:t>
            </w:r>
          </w:p>
        </w:tc>
        <w:tc>
          <w:p>
            <w:pPr>
              <w:pStyle w:val="Compact"/>
              <w:jc w:val="center"/>
            </w:pPr>
            <w:r>
              <w:t xml:space="preserve">26.59</w:t>
            </w:r>
          </w:p>
        </w:tc>
        <w:tc>
          <w:p>
            <w:pPr>
              <w:pStyle w:val="Compact"/>
              <w:jc w:val="center"/>
            </w:pPr>
            <w:r>
              <w:t xml:space="preserve">18.16</w:t>
            </w:r>
          </w:p>
        </w:tc>
        <w:tc>
          <w:p>
            <w:pPr>
              <w:pStyle w:val="Compact"/>
              <w:jc w:val="center"/>
            </w:pPr>
            <w:r>
              <w:t xml:space="preserve">23.31</w:t>
            </w:r>
          </w:p>
        </w:tc>
        <w:tc>
          <w:p>
            <w:pPr>
              <w:pStyle w:val="Compact"/>
              <w:jc w:val="center"/>
            </w:pPr>
            <w:r>
              <w:t xml:space="preserve">4.828</w:t>
            </w:r>
          </w:p>
        </w:tc>
        <w:tc>
          <w:p>
            <w:pPr>
              <w:pStyle w:val="Compact"/>
              <w:jc w:val="center"/>
            </w:pPr>
            <w:r>
              <w:t xml:space="preserve">0.398</w:t>
            </w:r>
          </w:p>
        </w:tc>
      </w:tr>
      <w:tr>
        <w:tc>
          <w:p>
            <w:pPr>
              <w:pStyle w:val="Compact"/>
              <w:jc w:val="center"/>
            </w:pPr>
            <w:r>
              <w:t xml:space="preserve">Dom</w:t>
            </w:r>
          </w:p>
        </w:tc>
        <w:tc>
          <w:p>
            <w:pPr>
              <w:pStyle w:val="Compact"/>
              <w:jc w:val="center"/>
            </w:pPr>
            <w:r>
              <w:t xml:space="preserve">LEW</w:t>
            </w:r>
          </w:p>
        </w:tc>
        <w:tc>
          <w:p>
            <w:pPr>
              <w:pStyle w:val="Compact"/>
              <w:jc w:val="center"/>
            </w:pPr>
            <w:r>
              <w:t xml:space="preserve">male</w:t>
            </w:r>
          </w:p>
        </w:tc>
        <w:tc>
          <w:p>
            <w:pPr>
              <w:pStyle w:val="Compact"/>
              <w:jc w:val="center"/>
            </w:pPr>
            <w:r>
              <w:t xml:space="preserve">10</w:t>
            </w:r>
          </w:p>
        </w:tc>
        <w:tc>
          <w:p>
            <w:pPr>
              <w:pStyle w:val="Compact"/>
              <w:jc w:val="center"/>
            </w:pPr>
            <w:r>
              <w:t xml:space="preserve">253</w:t>
            </w:r>
          </w:p>
        </w:tc>
        <w:tc>
          <w:p>
            <w:pPr>
              <w:pStyle w:val="Compact"/>
              <w:jc w:val="center"/>
            </w:pPr>
            <w:r>
              <w:t xml:space="preserve">24.16</w:t>
            </w:r>
          </w:p>
        </w:tc>
        <w:tc>
          <w:p>
            <w:pPr>
              <w:pStyle w:val="Compact"/>
              <w:jc w:val="center"/>
            </w:pPr>
            <w:r>
              <w:t xml:space="preserve">12.84</w:t>
            </w:r>
          </w:p>
        </w:tc>
        <w:tc>
          <w:p>
            <w:pPr>
              <w:pStyle w:val="Compact"/>
              <w:jc w:val="center"/>
            </w:pPr>
            <w:r>
              <w:t xml:space="preserve">9.62</w:t>
            </w:r>
          </w:p>
        </w:tc>
        <w:tc>
          <w:p>
            <w:pPr>
              <w:pStyle w:val="Compact"/>
              <w:jc w:val="center"/>
            </w:pPr>
            <w:r>
              <w:t xml:space="preserve">3.102</w:t>
            </w:r>
          </w:p>
        </w:tc>
        <w:tc>
          <w:p>
            <w:pPr>
              <w:pStyle w:val="Compact"/>
              <w:jc w:val="center"/>
            </w:pPr>
            <w:r>
              <w:t xml:space="preserve">0.195</w:t>
            </w:r>
          </w:p>
        </w:tc>
      </w:tr>
      <w:tr>
        <w:tc>
          <w:p>
            <w:pPr>
              <w:pStyle w:val="Compact"/>
              <w:jc w:val="center"/>
            </w:pPr>
            <w:r>
              <w:t xml:space="preserve">Cast</w:t>
            </w:r>
          </w:p>
        </w:tc>
        <w:tc>
          <w:p>
            <w:pPr>
              <w:pStyle w:val="Compact"/>
              <w:jc w:val="center"/>
            </w:pPr>
            <w:r>
              <w:t xml:space="preserve">CAST</w:t>
            </w:r>
          </w:p>
        </w:tc>
        <w:tc>
          <w:p>
            <w:pPr>
              <w:pStyle w:val="Compact"/>
              <w:jc w:val="center"/>
            </w:pPr>
            <w:r>
              <w:t xml:space="preserve">female</w:t>
            </w:r>
          </w:p>
        </w:tc>
        <w:tc>
          <w:p>
            <w:pPr>
              <w:pStyle w:val="Compact"/>
              <w:jc w:val="center"/>
            </w:pPr>
            <w:r>
              <w:t xml:space="preserve">1</w:t>
            </w:r>
          </w:p>
        </w:tc>
        <w:tc>
          <w:p>
            <w:pPr>
              <w:pStyle w:val="Compact"/>
              <w:jc w:val="center"/>
            </w:pPr>
            <w:r>
              <w:t xml:space="preserve">1</w:t>
            </w:r>
          </w:p>
        </w:tc>
        <w:tc>
          <w:p>
            <w:pPr>
              <w:pStyle w:val="Compact"/>
              <w:jc w:val="center"/>
            </w:pPr>
            <w:r>
              <w:t xml:space="preserve">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Cast</w:t>
            </w:r>
          </w:p>
        </w:tc>
        <w:tc>
          <w:p>
            <w:pPr>
              <w:pStyle w:val="Compact"/>
              <w:jc w:val="center"/>
            </w:pPr>
            <w:r>
              <w:t xml:space="preserve">CAST</w:t>
            </w:r>
          </w:p>
        </w:tc>
        <w:tc>
          <w:p>
            <w:pPr>
              <w:pStyle w:val="Compact"/>
              <w:jc w:val="center"/>
            </w:pPr>
            <w:r>
              <w:t xml:space="preserve">male</w:t>
            </w:r>
          </w:p>
        </w:tc>
        <w:tc>
          <w:p>
            <w:pPr>
              <w:pStyle w:val="Compact"/>
              <w:jc w:val="center"/>
            </w:pPr>
            <w:r>
              <w:t xml:space="preserve">2</w:t>
            </w:r>
          </w:p>
        </w:tc>
        <w:tc>
          <w:p>
            <w:pPr>
              <w:pStyle w:val="Compact"/>
              <w:jc w:val="center"/>
            </w:pPr>
            <w:r>
              <w:t xml:space="preserve">44</w:t>
            </w:r>
          </w:p>
        </w:tc>
        <w:tc>
          <w:p>
            <w:pPr>
              <w:pStyle w:val="Compact"/>
              <w:jc w:val="center"/>
            </w:pPr>
            <w:r>
              <w:t xml:space="preserve">22.05</w:t>
            </w:r>
          </w:p>
        </w:tc>
        <w:tc>
          <w:p>
            <w:pPr>
              <w:pStyle w:val="Compact"/>
              <w:jc w:val="center"/>
            </w:pPr>
            <w:r>
              <w:t xml:space="preserve">10.3</w:t>
            </w:r>
          </w:p>
        </w:tc>
        <w:tc>
          <w:p>
            <w:pPr>
              <w:pStyle w:val="Compact"/>
              <w:jc w:val="center"/>
            </w:pPr>
            <w:r>
              <w:t xml:space="preserve">5.161</w:t>
            </w:r>
          </w:p>
        </w:tc>
        <w:tc>
          <w:p>
            <w:pPr>
              <w:pStyle w:val="Compact"/>
              <w:jc w:val="center"/>
            </w:pPr>
            <w:r>
              <w:t xml:space="preserve">2.272</w:t>
            </w:r>
          </w:p>
        </w:tc>
        <w:tc>
          <w:p>
            <w:pPr>
              <w:pStyle w:val="Compact"/>
              <w:jc w:val="center"/>
            </w:pPr>
            <w:r>
              <w:t xml:space="preserve">0.343</w:t>
            </w:r>
          </w:p>
        </w:tc>
      </w:tr>
      <w:tr>
        <w:tc>
          <w:p>
            <w:pPr>
              <w:pStyle w:val="Compact"/>
              <w:jc w:val="center"/>
            </w:pPr>
            <w:r>
              <w:t xml:space="preserve">Musc</w:t>
            </w:r>
          </w:p>
        </w:tc>
        <w:tc>
          <w:p>
            <w:pPr>
              <w:pStyle w:val="Compact"/>
              <w:jc w:val="center"/>
            </w:pPr>
            <w:r>
              <w:t xml:space="preserve">PWD</w:t>
            </w:r>
          </w:p>
        </w:tc>
        <w:tc>
          <w:p>
            <w:pPr>
              <w:pStyle w:val="Compact"/>
              <w:jc w:val="center"/>
            </w:pPr>
            <w:r>
              <w:t xml:space="preserve">female</w:t>
            </w:r>
          </w:p>
        </w:tc>
        <w:tc>
          <w:p>
            <w:pPr>
              <w:pStyle w:val="Compact"/>
              <w:jc w:val="center"/>
            </w:pPr>
            <w:r>
              <w:t xml:space="preserve">15</w:t>
            </w:r>
          </w:p>
        </w:tc>
        <w:tc>
          <w:p>
            <w:pPr>
              <w:pStyle w:val="Compact"/>
              <w:jc w:val="center"/>
            </w:pPr>
            <w:r>
              <w:t xml:space="preserve">222</w:t>
            </w:r>
          </w:p>
        </w:tc>
        <w:tc>
          <w:p>
            <w:pPr>
              <w:pStyle w:val="Compact"/>
              <w:jc w:val="center"/>
            </w:pPr>
            <w:r>
              <w:t xml:space="preserve">25.98</w:t>
            </w:r>
          </w:p>
        </w:tc>
        <w:tc>
          <w:p>
            <w:pPr>
              <w:pStyle w:val="Compact"/>
              <w:jc w:val="center"/>
            </w:pPr>
            <w:r>
              <w:t xml:space="preserve">14.41</w:t>
            </w:r>
          </w:p>
        </w:tc>
        <w:tc>
          <w:p>
            <w:pPr>
              <w:pStyle w:val="Compact"/>
              <w:jc w:val="center"/>
            </w:pPr>
            <w:r>
              <w:t xml:space="preserve">14.01</w:t>
            </w:r>
          </w:p>
        </w:tc>
        <w:tc>
          <w:p>
            <w:pPr>
              <w:pStyle w:val="Compact"/>
              <w:jc w:val="center"/>
            </w:pPr>
            <w:r>
              <w:t xml:space="preserve">3.743</w:t>
            </w:r>
          </w:p>
        </w:tc>
        <w:tc>
          <w:p>
            <w:pPr>
              <w:pStyle w:val="Compact"/>
              <w:jc w:val="center"/>
            </w:pPr>
            <w:r>
              <w:t xml:space="preserve">0.251</w:t>
            </w:r>
          </w:p>
        </w:tc>
      </w:tr>
      <w:tr>
        <w:tc>
          <w:p>
            <w:pPr>
              <w:pStyle w:val="Compact"/>
              <w:jc w:val="center"/>
            </w:pPr>
            <w:r>
              <w:t xml:space="preserve">Musc</w:t>
            </w:r>
          </w:p>
        </w:tc>
        <w:tc>
          <w:p>
            <w:pPr>
              <w:pStyle w:val="Compact"/>
              <w:jc w:val="center"/>
            </w:pPr>
            <w:r>
              <w:t xml:space="preserve">PWD</w:t>
            </w:r>
          </w:p>
        </w:tc>
        <w:tc>
          <w:p>
            <w:pPr>
              <w:pStyle w:val="Compact"/>
              <w:jc w:val="center"/>
            </w:pPr>
            <w:r>
              <w:t xml:space="preserve">male</w:t>
            </w:r>
          </w:p>
        </w:tc>
        <w:tc>
          <w:p>
            <w:pPr>
              <w:pStyle w:val="Compact"/>
              <w:jc w:val="center"/>
            </w:pPr>
            <w:r>
              <w:t xml:space="preserve">8</w:t>
            </w:r>
          </w:p>
        </w:tc>
        <w:tc>
          <w:p>
            <w:pPr>
              <w:pStyle w:val="Compact"/>
              <w:jc w:val="center"/>
            </w:pPr>
            <w:r>
              <w:t xml:space="preserve">161</w:t>
            </w:r>
          </w:p>
        </w:tc>
        <w:tc>
          <w:p>
            <w:pPr>
              <w:pStyle w:val="Compact"/>
              <w:jc w:val="center"/>
            </w:pPr>
            <w:r>
              <w:t xml:space="preserve">28.67</w:t>
            </w:r>
          </w:p>
        </w:tc>
        <w:tc>
          <w:p>
            <w:pPr>
              <w:pStyle w:val="Compact"/>
              <w:jc w:val="center"/>
            </w:pPr>
            <w:r>
              <w:t xml:space="preserve">10.9</w:t>
            </w:r>
          </w:p>
        </w:tc>
        <w:tc>
          <w:p>
            <w:pPr>
              <w:pStyle w:val="Compact"/>
              <w:jc w:val="center"/>
            </w:pPr>
            <w:r>
              <w:t xml:space="preserve">9.76</w:t>
            </w:r>
          </w:p>
        </w:tc>
        <w:tc>
          <w:p>
            <w:pPr>
              <w:pStyle w:val="Compact"/>
              <w:jc w:val="center"/>
            </w:pPr>
            <w:r>
              <w:t xml:space="preserve">3.124</w:t>
            </w:r>
          </w:p>
        </w:tc>
        <w:tc>
          <w:p>
            <w:pPr>
              <w:pStyle w:val="Compact"/>
              <w:jc w:val="center"/>
            </w:pPr>
            <w:r>
              <w:t xml:space="preserve">0.246</w:t>
            </w:r>
          </w:p>
        </w:tc>
      </w:tr>
      <w:tr>
        <w:tc>
          <w:p>
            <w:pPr>
              <w:pStyle w:val="Compact"/>
              <w:jc w:val="center"/>
            </w:pPr>
            <w:r>
              <w:t xml:space="preserve">Musc</w:t>
            </w:r>
          </w:p>
        </w:tc>
        <w:tc>
          <w:p>
            <w:pPr>
              <w:pStyle w:val="Compact"/>
              <w:jc w:val="center"/>
            </w:pPr>
            <w:r>
              <w:t xml:space="preserve">MSM</w:t>
            </w:r>
          </w:p>
        </w:tc>
        <w:tc>
          <w:p>
            <w:pPr>
              <w:pStyle w:val="Compact"/>
              <w:jc w:val="center"/>
            </w:pPr>
            <w:r>
              <w:t xml:space="preserve">female</w:t>
            </w:r>
          </w:p>
        </w:tc>
        <w:tc>
          <w:p>
            <w:pPr>
              <w:pStyle w:val="Compact"/>
              <w:jc w:val="center"/>
            </w:pPr>
            <w:r>
              <w:t xml:space="preserve">14</w:t>
            </w:r>
          </w:p>
        </w:tc>
        <w:tc>
          <w:p>
            <w:pPr>
              <w:pStyle w:val="Compact"/>
              <w:jc w:val="center"/>
            </w:pPr>
            <w:r>
              <w:t xml:space="preserve">300</w:t>
            </w:r>
          </w:p>
        </w:tc>
        <w:tc>
          <w:p>
            <w:pPr>
              <w:pStyle w:val="Compact"/>
              <w:jc w:val="center"/>
            </w:pPr>
            <w:r>
              <w:t xml:space="preserve">28.12</w:t>
            </w:r>
          </w:p>
        </w:tc>
        <w:tc>
          <w:p>
            <w:pPr>
              <w:pStyle w:val="Compact"/>
              <w:jc w:val="center"/>
            </w:pPr>
            <w:r>
              <w:t xml:space="preserve">15.64</w:t>
            </w:r>
          </w:p>
        </w:tc>
        <w:tc>
          <w:p>
            <w:pPr>
              <w:pStyle w:val="Compact"/>
              <w:jc w:val="center"/>
            </w:pPr>
            <w:r>
              <w:t xml:space="preserve">19.35</w:t>
            </w:r>
          </w:p>
        </w:tc>
        <w:tc>
          <w:p>
            <w:pPr>
              <w:pStyle w:val="Compact"/>
              <w:jc w:val="center"/>
            </w:pPr>
            <w:r>
              <w:t xml:space="preserve">4.399</w:t>
            </w:r>
          </w:p>
        </w:tc>
        <w:tc>
          <w:p>
            <w:pPr>
              <w:pStyle w:val="Compact"/>
              <w:jc w:val="center"/>
            </w:pPr>
            <w:r>
              <w:t xml:space="preserve">0.254</w:t>
            </w:r>
          </w:p>
        </w:tc>
      </w:tr>
      <w:tr>
        <w:tc>
          <w:p>
            <w:pPr>
              <w:pStyle w:val="Compact"/>
              <w:jc w:val="center"/>
            </w:pPr>
            <w:r>
              <w:t xml:space="preserve">Musc</w:t>
            </w:r>
          </w:p>
        </w:tc>
        <w:tc>
          <w:p>
            <w:pPr>
              <w:pStyle w:val="Compact"/>
              <w:jc w:val="center"/>
            </w:pPr>
            <w:r>
              <w:t xml:space="preserve">MSM</w:t>
            </w:r>
          </w:p>
        </w:tc>
        <w:tc>
          <w:p>
            <w:pPr>
              <w:pStyle w:val="Compact"/>
              <w:jc w:val="center"/>
            </w:pPr>
            <w:r>
              <w:t xml:space="preserve">male</w:t>
            </w:r>
          </w:p>
        </w:tc>
        <w:tc>
          <w:p>
            <w:pPr>
              <w:pStyle w:val="Compact"/>
              <w:jc w:val="center"/>
            </w:pPr>
            <w:r>
              <w:t xml:space="preserve">7</w:t>
            </w:r>
          </w:p>
        </w:tc>
        <w:tc>
          <w:p>
            <w:pPr>
              <w:pStyle w:val="Compact"/>
              <w:jc w:val="center"/>
            </w:pPr>
            <w:r>
              <w:t xml:space="preserve">166</w:t>
            </w:r>
          </w:p>
        </w:tc>
        <w:tc>
          <w:p>
            <w:pPr>
              <w:pStyle w:val="Compact"/>
              <w:jc w:val="center"/>
            </w:pPr>
            <w:r>
              <w:t xml:space="preserve">30.37</w:t>
            </w:r>
          </w:p>
        </w:tc>
        <w:tc>
          <w:p>
            <w:pPr>
              <w:pStyle w:val="Compact"/>
              <w:jc w:val="center"/>
            </w:pPr>
            <w:r>
              <w:t xml:space="preserve">10.26</w:t>
            </w:r>
          </w:p>
        </w:tc>
        <w:tc>
          <w:p>
            <w:pPr>
              <w:pStyle w:val="Compact"/>
              <w:jc w:val="center"/>
            </w:pPr>
            <w:r>
              <w:t xml:space="preserve">9.713</w:t>
            </w:r>
          </w:p>
        </w:tc>
        <w:tc>
          <w:p>
            <w:pPr>
              <w:pStyle w:val="Compact"/>
              <w:jc w:val="center"/>
            </w:pPr>
            <w:r>
              <w:t xml:space="preserve">3.117</w:t>
            </w:r>
          </w:p>
        </w:tc>
        <w:tc>
          <w:p>
            <w:pPr>
              <w:pStyle w:val="Compact"/>
              <w:jc w:val="center"/>
            </w:pPr>
            <w:r>
              <w:t xml:space="preserve">0.242</w:t>
            </w:r>
          </w:p>
        </w:tc>
      </w:tr>
      <w:tr>
        <w:tc>
          <w:p>
            <w:pPr>
              <w:pStyle w:val="Compact"/>
              <w:jc w:val="center"/>
            </w:pPr>
            <w:r>
              <w:t xml:space="preserve">Musc</w:t>
            </w:r>
          </w:p>
        </w:tc>
        <w:tc>
          <w:p>
            <w:pPr>
              <w:pStyle w:val="Compact"/>
              <w:jc w:val="center"/>
            </w:pPr>
            <w:r>
              <w:t xml:space="preserve">MOLF</w:t>
            </w:r>
          </w:p>
        </w:tc>
        <w:tc>
          <w:p>
            <w:pPr>
              <w:pStyle w:val="Compact"/>
              <w:jc w:val="center"/>
            </w:pPr>
            <w:r>
              <w:t xml:space="preserve">female</w:t>
            </w:r>
          </w:p>
        </w:tc>
        <w:tc>
          <w:p>
            <w:pPr>
              <w:pStyle w:val="Compact"/>
              <w:jc w:val="center"/>
            </w:pPr>
            <w:r>
              <w:t xml:space="preserve">1</w:t>
            </w:r>
          </w:p>
        </w:tc>
        <w:tc>
          <w:p>
            <w:pPr>
              <w:pStyle w:val="Compact"/>
              <w:jc w:val="center"/>
            </w:pPr>
            <w:r>
              <w:t xml:space="preserve">21</w:t>
            </w:r>
          </w:p>
        </w:tc>
        <w:tc>
          <w:p>
            <w:pPr>
              <w:pStyle w:val="Compact"/>
              <w:jc w:val="center"/>
            </w:pPr>
            <w:r>
              <w:t xml:space="preserve">27.62</w:t>
            </w:r>
          </w:p>
        </w:tc>
        <w:tc>
          <w:p>
            <w:pPr>
              <w:pStyle w:val="Compact"/>
              <w:jc w:val="center"/>
            </w:pPr>
            <w:r>
              <w:t xml:space="preserve">15.34</w:t>
            </w:r>
          </w:p>
        </w:tc>
        <w:tc>
          <w:p>
            <w:pPr>
              <w:pStyle w:val="Compact"/>
              <w:jc w:val="center"/>
            </w:pPr>
            <w:r>
              <w:t xml:space="preserve">17.95</w:t>
            </w:r>
          </w:p>
        </w:tc>
        <w:tc>
          <w:p>
            <w:pPr>
              <w:pStyle w:val="Compact"/>
              <w:jc w:val="center"/>
            </w:pPr>
            <w:r>
              <w:t xml:space="preserve">4.236</w:t>
            </w:r>
          </w:p>
        </w:tc>
        <w:tc>
          <w:p>
            <w:pPr>
              <w:pStyle w:val="Compact"/>
              <w:jc w:val="center"/>
            </w:pPr>
            <w:r>
              <w:t xml:space="preserve">0.924</w:t>
            </w:r>
          </w:p>
        </w:tc>
      </w:tr>
      <w:tr>
        <w:tc>
          <w:p>
            <w:pPr>
              <w:pStyle w:val="Compact"/>
              <w:jc w:val="center"/>
            </w:pPr>
            <w:r>
              <w:t xml:space="preserve">Musc</w:t>
            </w:r>
          </w:p>
        </w:tc>
        <w:tc>
          <w:p>
            <w:pPr>
              <w:pStyle w:val="Compact"/>
              <w:jc w:val="center"/>
            </w:pPr>
            <w:r>
              <w:t xml:space="preserve">MOLF</w:t>
            </w:r>
          </w:p>
        </w:tc>
        <w:tc>
          <w:p>
            <w:pPr>
              <w:pStyle w:val="Compact"/>
              <w:jc w:val="center"/>
            </w:pPr>
            <w:r>
              <w:t xml:space="preserve">male</w:t>
            </w:r>
          </w:p>
        </w:tc>
        <w:tc>
          <w:p>
            <w:pPr>
              <w:pStyle w:val="Compact"/>
              <w:jc w:val="center"/>
            </w:pPr>
            <w:r>
              <w:t xml:space="preserve">6</w:t>
            </w:r>
          </w:p>
        </w:tc>
        <w:tc>
          <w:p>
            <w:pPr>
              <w:pStyle w:val="Compact"/>
              <w:jc w:val="center"/>
            </w:pPr>
            <w:r>
              <w:t xml:space="preserve">119</w:t>
            </w:r>
          </w:p>
        </w:tc>
        <w:tc>
          <w:p>
            <w:pPr>
              <w:pStyle w:val="Compact"/>
              <w:jc w:val="center"/>
            </w:pPr>
            <w:r>
              <w:t xml:space="preserve">23.42</w:t>
            </w:r>
          </w:p>
        </w:tc>
        <w:tc>
          <w:p>
            <w:pPr>
              <w:pStyle w:val="Compact"/>
              <w:jc w:val="center"/>
            </w:pPr>
            <w:r>
              <w:t xml:space="preserve">10.8</w:t>
            </w:r>
          </w:p>
        </w:tc>
        <w:tc>
          <w:p>
            <w:pPr>
              <w:pStyle w:val="Compact"/>
              <w:jc w:val="center"/>
            </w:pPr>
            <w:r>
              <w:t xml:space="preserve">6.398</w:t>
            </w:r>
          </w:p>
        </w:tc>
        <w:tc>
          <w:p>
            <w:pPr>
              <w:pStyle w:val="Compact"/>
              <w:jc w:val="center"/>
            </w:pPr>
            <w:r>
              <w:t xml:space="preserve">2.529</w:t>
            </w:r>
          </w:p>
        </w:tc>
        <w:tc>
          <w:p>
            <w:pPr>
              <w:pStyle w:val="Compact"/>
              <w:jc w:val="center"/>
            </w:pPr>
            <w:r>
              <w:t xml:space="preserve">0.232</w:t>
            </w:r>
          </w:p>
        </w:tc>
      </w:tr>
      <w:tr>
        <w:tc>
          <w:p>
            <w:pPr>
              <w:pStyle w:val="Compact"/>
              <w:jc w:val="center"/>
            </w:pPr>
            <w:r>
              <w:t xml:space="preserve">Musc</w:t>
            </w:r>
          </w:p>
        </w:tc>
        <w:tc>
          <w:p>
            <w:pPr>
              <w:pStyle w:val="Compact"/>
              <w:jc w:val="center"/>
            </w:pPr>
            <w:r>
              <w:t xml:space="preserve">SKIVE</w:t>
            </w:r>
          </w:p>
        </w:tc>
        <w:tc>
          <w:p>
            <w:pPr>
              <w:pStyle w:val="Compact"/>
              <w:jc w:val="center"/>
            </w:pPr>
            <w:r>
              <w:t xml:space="preserve">female</w:t>
            </w:r>
          </w:p>
        </w:tc>
        <w:tc>
          <w:p>
            <w:pPr>
              <w:pStyle w:val="Compact"/>
              <w:jc w:val="center"/>
            </w:pPr>
            <w:r>
              <w:t xml:space="preserve">1</w:t>
            </w:r>
          </w:p>
        </w:tc>
        <w:tc>
          <w:p>
            <w:pPr>
              <w:pStyle w:val="Compact"/>
              <w:jc w:val="center"/>
            </w:pPr>
            <w:r>
              <w:t xml:space="preserve">32</w:t>
            </w:r>
          </w:p>
        </w:tc>
        <w:tc>
          <w:p>
            <w:pPr>
              <w:pStyle w:val="Compact"/>
              <w:jc w:val="center"/>
            </w:pPr>
            <w:r>
              <w:t xml:space="preserve">25.94</w:t>
            </w:r>
          </w:p>
        </w:tc>
        <w:tc>
          <w:p>
            <w:pPr>
              <w:pStyle w:val="Compact"/>
              <w:jc w:val="center"/>
            </w:pPr>
            <w:r>
              <w:t xml:space="preserve">12.07</w:t>
            </w:r>
          </w:p>
        </w:tc>
        <w:tc>
          <w:p>
            <w:pPr>
              <w:pStyle w:val="Compact"/>
              <w:jc w:val="center"/>
            </w:pPr>
            <w:r>
              <w:t xml:space="preserve">9.802</w:t>
            </w:r>
          </w:p>
        </w:tc>
        <w:tc>
          <w:p>
            <w:pPr>
              <w:pStyle w:val="Compact"/>
              <w:jc w:val="center"/>
            </w:pPr>
            <w:r>
              <w:t xml:space="preserve">3.131</w:t>
            </w:r>
          </w:p>
        </w:tc>
        <w:tc>
          <w:p>
            <w:pPr>
              <w:pStyle w:val="Compact"/>
              <w:jc w:val="center"/>
            </w:pPr>
            <w:r>
              <w:t xml:space="preserve">0.553</w:t>
            </w:r>
          </w:p>
        </w:tc>
      </w:tr>
      <w:tr>
        <w:tc>
          <w:p>
            <w:pPr>
              <w:pStyle w:val="Compact"/>
              <w:jc w:val="center"/>
            </w:pPr>
            <w:r>
              <w:t xml:space="preserve">Musc</w:t>
            </w:r>
          </w:p>
        </w:tc>
        <w:tc>
          <w:p>
            <w:pPr>
              <w:pStyle w:val="Compact"/>
              <w:jc w:val="center"/>
            </w:pPr>
            <w:r>
              <w:t xml:space="preserve">SKIVE</w:t>
            </w:r>
          </w:p>
        </w:tc>
        <w:tc>
          <w:p>
            <w:pPr>
              <w:pStyle w:val="Compact"/>
              <w:jc w:val="center"/>
            </w:pPr>
            <w:r>
              <w:t xml:space="preserve">male</w:t>
            </w:r>
          </w:p>
        </w:tc>
        <w:tc>
          <w:p>
            <w:pPr>
              <w:pStyle w:val="Compact"/>
              <w:jc w:val="center"/>
            </w:pPr>
            <w:r>
              <w:t xml:space="preserve">3</w:t>
            </w:r>
          </w:p>
        </w:tc>
        <w:tc>
          <w:p>
            <w:pPr>
              <w:pStyle w:val="Compact"/>
              <w:jc w:val="center"/>
            </w:pPr>
            <w:r>
              <w:t xml:space="preserve">86</w:t>
            </w:r>
          </w:p>
        </w:tc>
        <w:tc>
          <w:p>
            <w:pPr>
              <w:pStyle w:val="Compact"/>
              <w:jc w:val="center"/>
            </w:pPr>
            <w:r>
              <w:t xml:space="preserve">26.08</w:t>
            </w:r>
          </w:p>
        </w:tc>
        <w:tc>
          <w:p>
            <w:pPr>
              <w:pStyle w:val="Compact"/>
              <w:jc w:val="center"/>
            </w:pPr>
            <w:r>
              <w:t xml:space="preserve">10.41</w:t>
            </w:r>
          </w:p>
        </w:tc>
        <w:tc>
          <w:p>
            <w:pPr>
              <w:pStyle w:val="Compact"/>
              <w:jc w:val="center"/>
            </w:pPr>
            <w:r>
              <w:t xml:space="preserve">7.37</w:t>
            </w:r>
          </w:p>
        </w:tc>
        <w:tc>
          <w:p>
            <w:pPr>
              <w:pStyle w:val="Compact"/>
              <w:jc w:val="center"/>
            </w:pPr>
            <w:r>
              <w:t xml:space="preserve">2.715</w:t>
            </w:r>
          </w:p>
        </w:tc>
        <w:tc>
          <w:p>
            <w:pPr>
              <w:pStyle w:val="Compact"/>
              <w:jc w:val="center"/>
            </w:pPr>
            <w:r>
              <w:t xml:space="preserve">0.293</w:t>
            </w:r>
          </w:p>
        </w:tc>
      </w:tr>
      <w:tr>
        <w:tc>
          <w:p>
            <w:pPr>
              <w:pStyle w:val="Compact"/>
              <w:jc w:val="center"/>
            </w:pPr>
            <w:r>
              <w:t xml:space="preserve">Musc</w:t>
            </w:r>
          </w:p>
        </w:tc>
        <w:tc>
          <w:p>
            <w:pPr>
              <w:pStyle w:val="Compact"/>
              <w:jc w:val="center"/>
            </w:pPr>
            <w:r>
              <w:t xml:space="preserve">KAZ</w:t>
            </w:r>
          </w:p>
        </w:tc>
        <w:tc>
          <w:p>
            <w:pPr>
              <w:pStyle w:val="Compact"/>
              <w:jc w:val="center"/>
            </w:pPr>
            <w:r>
              <w:t xml:space="preserve">female</w:t>
            </w:r>
          </w:p>
        </w:tc>
        <w:tc>
          <w:p>
            <w:pPr>
              <w:pStyle w:val="Compact"/>
              <w:jc w:val="center"/>
            </w:pPr>
            <w:r>
              <w:t xml:space="preserve">9</w:t>
            </w:r>
          </w:p>
        </w:tc>
        <w:tc>
          <w:p>
            <w:pPr>
              <w:pStyle w:val="Compact"/>
              <w:jc w:val="center"/>
            </w:pPr>
            <w:r>
              <w:t xml:space="preserve">184</w:t>
            </w:r>
          </w:p>
        </w:tc>
        <w:tc>
          <w:p>
            <w:pPr>
              <w:pStyle w:val="Compact"/>
              <w:jc w:val="center"/>
            </w:pPr>
            <w:r>
              <w:t xml:space="preserve">25.62</w:t>
            </w:r>
          </w:p>
        </w:tc>
        <w:tc>
          <w:p>
            <w:pPr>
              <w:pStyle w:val="Compact"/>
              <w:jc w:val="center"/>
            </w:pPr>
            <w:r>
              <w:t xml:space="preserve">15.63</w:t>
            </w:r>
          </w:p>
        </w:tc>
        <w:tc>
          <w:p>
            <w:pPr>
              <w:pStyle w:val="Compact"/>
              <w:jc w:val="center"/>
            </w:pPr>
            <w:r>
              <w:t xml:space="preserve">16.04</w:t>
            </w:r>
          </w:p>
        </w:tc>
        <w:tc>
          <w:p>
            <w:pPr>
              <w:pStyle w:val="Compact"/>
              <w:jc w:val="center"/>
            </w:pPr>
            <w:r>
              <w:t xml:space="preserve">4.005</w:t>
            </w:r>
          </w:p>
        </w:tc>
        <w:tc>
          <w:p>
            <w:pPr>
              <w:pStyle w:val="Compact"/>
              <w:jc w:val="center"/>
            </w:pPr>
            <w:r>
              <w:t xml:space="preserve">0.295</w:t>
            </w:r>
          </w:p>
        </w:tc>
      </w:tr>
      <w:tr>
        <w:tc>
          <w:p>
            <w:pPr>
              <w:pStyle w:val="Compact"/>
              <w:jc w:val="center"/>
            </w:pPr>
            <w:r>
              <w:t xml:space="preserve">Musc</w:t>
            </w:r>
          </w:p>
        </w:tc>
        <w:tc>
          <w:p>
            <w:pPr>
              <w:pStyle w:val="Compact"/>
              <w:jc w:val="center"/>
            </w:pPr>
            <w:r>
              <w:t xml:space="preserve">KAZ</w:t>
            </w:r>
          </w:p>
        </w:tc>
        <w:tc>
          <w:p>
            <w:pPr>
              <w:pStyle w:val="Compact"/>
              <w:jc w:val="center"/>
            </w:pPr>
            <w:r>
              <w:t xml:space="preserve">male</w:t>
            </w:r>
          </w:p>
        </w:tc>
        <w:tc>
          <w:p>
            <w:pPr>
              <w:pStyle w:val="Compact"/>
              <w:jc w:val="center"/>
            </w:pPr>
            <w:r>
              <w:t xml:space="preserve">13</w:t>
            </w:r>
          </w:p>
        </w:tc>
        <w:tc>
          <w:p>
            <w:pPr>
              <w:pStyle w:val="Compact"/>
              <w:jc w:val="center"/>
            </w:pPr>
            <w:r>
              <w:t xml:space="preserve">264</w:t>
            </w:r>
          </w:p>
        </w:tc>
        <w:tc>
          <w:p>
            <w:pPr>
              <w:pStyle w:val="Compact"/>
              <w:jc w:val="center"/>
            </w:pPr>
            <w:r>
              <w:t xml:space="preserve">22.99</w:t>
            </w:r>
          </w:p>
        </w:tc>
        <w:tc>
          <w:p>
            <w:pPr>
              <w:pStyle w:val="Compact"/>
              <w:jc w:val="center"/>
            </w:pPr>
            <w:r>
              <w:t xml:space="preserve">13.16</w:t>
            </w:r>
          </w:p>
        </w:tc>
        <w:tc>
          <w:p>
            <w:pPr>
              <w:pStyle w:val="Compact"/>
              <w:jc w:val="center"/>
            </w:pPr>
            <w:r>
              <w:t xml:space="preserve">9.152</w:t>
            </w:r>
          </w:p>
        </w:tc>
        <w:tc>
          <w:p>
            <w:pPr>
              <w:pStyle w:val="Compact"/>
              <w:jc w:val="center"/>
            </w:pPr>
            <w:r>
              <w:t xml:space="preserve">3.025</w:t>
            </w:r>
          </w:p>
        </w:tc>
        <w:tc>
          <w:p>
            <w:pPr>
              <w:pStyle w:val="Compact"/>
              <w:jc w:val="center"/>
            </w:pPr>
            <w:r>
              <w:t xml:space="preserve">0.186</w:t>
            </w:r>
          </w:p>
        </w:tc>
      </w:tr>
      <w:tr>
        <w:tc>
          <w:p>
            <w:pPr>
              <w:pStyle w:val="Compact"/>
              <w:jc w:val="center"/>
            </w:pPr>
            <w:r>
              <w:t xml:space="preserve">Spretus</w:t>
            </w:r>
          </w:p>
        </w:tc>
        <w:tc>
          <w:p>
            <w:pPr>
              <w:pStyle w:val="Compact"/>
              <w:jc w:val="center"/>
            </w:pPr>
            <w:r>
              <w:t xml:space="preserve">SPRET</w:t>
            </w:r>
          </w:p>
        </w:tc>
        <w:tc>
          <w:p>
            <w:pPr>
              <w:pStyle w:val="Compact"/>
              <w:jc w:val="center"/>
            </w:pPr>
            <w:r>
              <w:t xml:space="preserve">female</w:t>
            </w:r>
          </w:p>
        </w:tc>
        <w:tc>
          <w:p>
            <w:pPr>
              <w:pStyle w:val="Compact"/>
              <w:jc w:val="center"/>
            </w:pPr>
            <w:r>
              <w:t xml:space="preserve">2</w:t>
            </w:r>
          </w:p>
        </w:tc>
        <w:tc>
          <w:p>
            <w:pPr>
              <w:pStyle w:val="Compact"/>
              <w:jc w:val="center"/>
            </w:pPr>
            <w:r>
              <w:t xml:space="preserve">2</w:t>
            </w:r>
          </w:p>
        </w:tc>
        <w:tc>
          <w:p>
            <w:pPr>
              <w:pStyle w:val="Compact"/>
              <w:jc w:val="center"/>
            </w:pPr>
            <w:r>
              <w:t xml:space="preserve">26</w:t>
            </w:r>
          </w:p>
        </w:tc>
        <w:tc>
          <w:p>
            <w:pPr>
              <w:pStyle w:val="Compact"/>
              <w:jc w:val="center"/>
            </w:pPr>
            <w:r>
              <w:t xml:space="preserve">10.88</w:t>
            </w:r>
          </w:p>
        </w:tc>
        <w:tc>
          <w:p>
            <w:pPr>
              <w:pStyle w:val="Compact"/>
              <w:jc w:val="center"/>
            </w:pPr>
            <w:r>
              <w:t xml:space="preserve">8</w:t>
            </w:r>
          </w:p>
        </w:tc>
        <w:tc>
          <w:p>
            <w:pPr>
              <w:pStyle w:val="Compact"/>
              <w:jc w:val="center"/>
            </w:pPr>
            <w:r>
              <w:t xml:space="preserve">2.828</w:t>
            </w:r>
          </w:p>
        </w:tc>
        <w:tc>
          <w:p>
            <w:pPr>
              <w:pStyle w:val="Compact"/>
              <w:jc w:val="center"/>
            </w:pPr>
            <w:r>
              <w:t xml:space="preserve">2</w:t>
            </w:r>
          </w:p>
        </w:tc>
      </w:tr>
      <w:tr>
        <w:tc>
          <w:p>
            <w:pPr>
              <w:pStyle w:val="Compact"/>
              <w:jc w:val="center"/>
            </w:pPr>
            <w:r>
              <w:t xml:space="preserve">Spretus</w:t>
            </w:r>
          </w:p>
        </w:tc>
        <w:tc>
          <w:p>
            <w:pPr>
              <w:pStyle w:val="Compact"/>
              <w:jc w:val="center"/>
            </w:pPr>
            <w:r>
              <w:t xml:space="preserve">SPRET</w:t>
            </w:r>
          </w:p>
        </w:tc>
        <w:tc>
          <w:p>
            <w:pPr>
              <w:pStyle w:val="Compact"/>
              <w:jc w:val="center"/>
            </w:pPr>
            <w:r>
              <w:t xml:space="preserve">male</w:t>
            </w:r>
          </w:p>
        </w:tc>
        <w:tc>
          <w:p>
            <w:pPr>
              <w:pStyle w:val="Compact"/>
              <w:jc w:val="center"/>
            </w:pPr>
            <w:r>
              <w:t xml:space="preserve">5</w:t>
            </w:r>
          </w:p>
        </w:tc>
        <w:tc>
          <w:p>
            <w:pPr>
              <w:pStyle w:val="Compact"/>
              <w:jc w:val="center"/>
            </w:pPr>
            <w:r>
              <w:t xml:space="preserve">103</w:t>
            </w:r>
          </w:p>
        </w:tc>
        <w:tc>
          <w:p>
            <w:pPr>
              <w:pStyle w:val="Compact"/>
              <w:jc w:val="center"/>
            </w:pPr>
            <w:r>
              <w:t xml:space="preserve">24.43</w:t>
            </w:r>
          </w:p>
        </w:tc>
        <w:tc>
          <w:p>
            <w:pPr>
              <w:pStyle w:val="Compact"/>
              <w:jc w:val="center"/>
            </w:pPr>
            <w:r>
              <w:t xml:space="preserve">10.23</w:t>
            </w:r>
          </w:p>
        </w:tc>
        <w:tc>
          <w:p>
            <w:pPr>
              <w:pStyle w:val="Compact"/>
              <w:jc w:val="center"/>
            </w:pPr>
            <w:r>
              <w:t xml:space="preserve">6.247</w:t>
            </w:r>
          </w:p>
        </w:tc>
        <w:tc>
          <w:p>
            <w:pPr>
              <w:pStyle w:val="Compact"/>
              <w:jc w:val="center"/>
            </w:pPr>
            <w:r>
              <w:t xml:space="preserve">2.499</w:t>
            </w:r>
          </w:p>
        </w:tc>
        <w:tc>
          <w:p>
            <w:pPr>
              <w:pStyle w:val="Compact"/>
              <w:jc w:val="center"/>
            </w:pPr>
            <w:r>
              <w:t xml:space="preserve">0.246</w:t>
            </w:r>
          </w:p>
        </w:tc>
      </w:tr>
      <w:tr>
        <w:tc>
          <w:p>
            <w:pPr>
              <w:pStyle w:val="Compact"/>
              <w:jc w:val="center"/>
            </w:pPr>
            <w:r>
              <w:t xml:space="preserve">Spic</w:t>
            </w:r>
          </w:p>
        </w:tc>
        <w:tc>
          <w:p>
            <w:pPr>
              <w:pStyle w:val="Compact"/>
              <w:jc w:val="center"/>
            </w:pPr>
            <w:r>
              <w:t xml:space="preserve">SPIC</w:t>
            </w:r>
          </w:p>
        </w:tc>
        <w:tc>
          <w:p>
            <w:pPr>
              <w:pStyle w:val="Compact"/>
              <w:jc w:val="center"/>
            </w:pPr>
            <w:r>
              <w:t xml:space="preserve">female</w:t>
            </w:r>
          </w:p>
        </w:tc>
        <w:tc>
          <w:p>
            <w:pPr>
              <w:pStyle w:val="Compact"/>
              <w:jc w:val="center"/>
            </w:pPr>
            <w:r>
              <w:t xml:space="preserve">6</w:t>
            </w:r>
          </w:p>
        </w:tc>
        <w:tc>
          <w:p>
            <w:pPr>
              <w:pStyle w:val="Compact"/>
              <w:jc w:val="center"/>
            </w:pPr>
            <w:r>
              <w:t xml:space="preserve">97</w:t>
            </w:r>
          </w:p>
        </w:tc>
        <w:tc>
          <w:p>
            <w:pPr>
              <w:pStyle w:val="Compact"/>
              <w:jc w:val="center"/>
            </w:pPr>
            <w:r>
              <w:t xml:space="preserve">28.24</w:t>
            </w:r>
          </w:p>
        </w:tc>
        <w:tc>
          <w:p>
            <w:pPr>
              <w:pStyle w:val="Compact"/>
              <w:jc w:val="center"/>
            </w:pPr>
            <w:r>
              <w:t xml:space="preserve">15.63</w:t>
            </w:r>
          </w:p>
        </w:tc>
        <w:tc>
          <w:p>
            <w:pPr>
              <w:pStyle w:val="Compact"/>
              <w:jc w:val="center"/>
            </w:pPr>
            <w:r>
              <w:t xml:space="preserve">19.47</w:t>
            </w:r>
          </w:p>
        </w:tc>
        <w:tc>
          <w:p>
            <w:pPr>
              <w:pStyle w:val="Compact"/>
              <w:jc w:val="center"/>
            </w:pPr>
            <w:r>
              <w:t xml:space="preserve">4.413</w:t>
            </w:r>
          </w:p>
        </w:tc>
        <w:tc>
          <w:p>
            <w:pPr>
              <w:pStyle w:val="Compact"/>
              <w:jc w:val="center"/>
            </w:pPr>
            <w:r>
              <w:t xml:space="preserve">0.448</w:t>
            </w:r>
          </w:p>
        </w:tc>
      </w:tr>
      <w:tr>
        <w:tc>
          <w:p>
            <w:pPr>
              <w:pStyle w:val="Compact"/>
              <w:jc w:val="center"/>
            </w:pPr>
            <w:r>
              <w:t xml:space="preserve">Spic</w:t>
            </w:r>
          </w:p>
        </w:tc>
        <w:tc>
          <w:p>
            <w:pPr>
              <w:pStyle w:val="Compact"/>
              <w:jc w:val="center"/>
            </w:pPr>
            <w:r>
              <w:t xml:space="preserve">SPIC</w:t>
            </w:r>
          </w:p>
        </w:tc>
        <w:tc>
          <w:p>
            <w:pPr>
              <w:pStyle w:val="Compact"/>
              <w:jc w:val="center"/>
            </w:pPr>
            <w:r>
              <w:t xml:space="preserve">male</w:t>
            </w:r>
          </w:p>
        </w:tc>
        <w:tc>
          <w:p>
            <w:pPr>
              <w:pStyle w:val="Compact"/>
              <w:jc w:val="center"/>
            </w:pPr>
            <w:r>
              <w:t xml:space="preserve">4</w:t>
            </w:r>
          </w:p>
        </w:tc>
        <w:tc>
          <w:p>
            <w:pPr>
              <w:pStyle w:val="Compact"/>
              <w:jc w:val="center"/>
            </w:pPr>
            <w:r>
              <w:t xml:space="preserve">133</w:t>
            </w:r>
          </w:p>
        </w:tc>
        <w:tc>
          <w:p>
            <w:pPr>
              <w:pStyle w:val="Compact"/>
              <w:jc w:val="center"/>
            </w:pPr>
            <w:r>
              <w:t xml:space="preserve">25.77</w:t>
            </w:r>
          </w:p>
        </w:tc>
        <w:tc>
          <w:p>
            <w:pPr>
              <w:pStyle w:val="Compact"/>
              <w:jc w:val="center"/>
            </w:pPr>
            <w:r>
              <w:t xml:space="preserve">10.78</w:t>
            </w:r>
          </w:p>
        </w:tc>
        <w:tc>
          <w:p>
            <w:pPr>
              <w:pStyle w:val="Compact"/>
              <w:jc w:val="center"/>
            </w:pPr>
            <w:r>
              <w:t xml:space="preserve">7.721</w:t>
            </w:r>
          </w:p>
        </w:tc>
        <w:tc>
          <w:p>
            <w:pPr>
              <w:pStyle w:val="Compact"/>
              <w:jc w:val="center"/>
            </w:pPr>
            <w:r>
              <w:t xml:space="preserve">2.779</w:t>
            </w:r>
          </w:p>
        </w:tc>
        <w:tc>
          <w:p>
            <w:pPr>
              <w:pStyle w:val="Compact"/>
              <w:jc w:val="center"/>
            </w:pPr>
            <w:r>
              <w:t xml:space="preserve">0.241</w:t>
            </w:r>
          </w:p>
        </w:tc>
      </w:tr>
    </w:tbl>
    <w:p>
      <w:pPr>
        <w:pStyle w:val="Heading1"/>
      </w:pPr>
      <w:bookmarkStart w:id="22" w:name="genome-wide-recombination-rate-estimates-for-both-sexes"/>
      <w:bookmarkEnd w:id="22"/>
      <w:r>
        <w:t xml:space="preserve">genome-wide recombination rate estimates for both sexes</w:t>
      </w:r>
    </w:p>
    <w:p>
      <w:pPr>
        <w:pStyle w:val="FirstParagraph"/>
      </w:pPr>
    </w:p>
    <w:p>
      <w:pPr>
        <w:pStyle w:val="BodyText"/>
      </w:pPr>
      <w:r>
        <w:t xml:space="preserve">We used counts of MLH1 foci per cell to estimate genome-wide recombination rates in 14 wild-derived inbred strains sampled from three subspecies of house mice:</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166 mice were quantified from an average of 19.73 spermatocytes per male (for a total of 1867 spermatocytes) and 18.54 oocytes per female (for a total of 1409 oocytes).</w:t>
      </w:r>
    </w:p>
    <w:p>
      <w:pPr>
        <w:pStyle w:val="BodyText"/>
      </w:pPr>
      <w:r>
        <w:t xml:space="preserve">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pPr>
        <w:pStyle w:val="BodyText"/>
      </w:pPr>
      <w:r>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w:t>
      </w:r>
      <w:r>
        <w:t xml:space="preserve"> </w:t>
      </w:r>
      <w:r>
        <w:rPr>
          <w:i/>
        </w:rPr>
        <w:t xml:space="preserve">domesticus</w:t>
      </w:r>
      <w:r>
        <w:rPr>
          <w:vertAlign w:val="superscript"/>
          <w:i/>
        </w:rPr>
        <w:t xml:space="preserve">G</w:t>
      </w:r>
      <w:r>
        <w:t xml:space="preserve"> </w:t>
      </w:r>
      <w:r>
        <w:t xml:space="preserve">to 1.06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0.91, 0.93 and 0.99 respectively.</w:t>
      </w:r>
    </w:p>
    <w:p>
      <w:pPr>
        <w:pStyle w:val="BodyText"/>
      </w:pPr>
      <w:r>
        <w:t xml:space="preserve">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pPr>
        <w:pStyle w:val="Heading1"/>
      </w:pPr>
      <w:bookmarkStart w:id="23" w:name="partitioning-variation-in-recombination-rate"/>
      <w:bookmarkEnd w:id="23"/>
      <w:r>
        <w:t xml:space="preserve">Partitioning variation in recombination rate</w:t>
      </w:r>
    </w:p>
    <w:p>
      <w:pPr>
        <w:pStyle w:val="FirstParagraph"/>
      </w:pPr>
      <w:r>
        <w:t xml:space="preserve">To situate variation in recombination rate within an evolutionary framework, we fit a series of models including subspecies, strain, and sex, to mean MLH1 foci counts from 187 mice. We began with a full mixed model (M1, see Methods), which showed that strain</w:t>
      </w:r>
      <w:r>
        <w:t xml:space="preserve"> </w:t>
      </w:r>
      <w:r>
        <w:t xml:space="preserve">(random effect p &lt; 0 – 10^{-6} someSmallNumber), sex (p = 1.55</w:t>
      </w:r>
      <w:r>
        <w:t xml:space="preserve">10^{-8}), subspecies (p=1.72</w:t>
      </w:r>
      <w:r>
        <w:t xml:space="preserve">10^{-4}), and subspecies sex (p = 3.1</w:t>
      </w:r>
      <w:r>
        <w:t xml:space="preserve">10^{-5}) each significantly affect recombination rate.</w:t>
      </w:r>
    </w:p>
    <w:p>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musculus</w:t>
      </w:r>
      <w:r>
        <w:rPr>
          <w:vertAlign w:val="superscript"/>
        </w:rPr>
        <w:t xml:space="preserve">MSM</w:t>
      </w:r>
      <w:r>
        <w:t xml:space="preserve"> </w:t>
      </w:r>
      <w:r>
        <w:t xml:space="preserve">(p= 3.99</w:t>
      </w:r>
      <w:r>
        <w:t xml:space="preserve">10^{-6})</w:t>
      </w:r>
      <w:r>
        <w:t xml:space="preserve"> </w:t>
      </w:r>
      <w:r>
        <w:t xml:space="preserve">and domesticus</w:t>
      </w:r>
      <w:r>
        <w:rPr>
          <w:vertAlign w:val="superscript"/>
        </w:rPr>
        <w:t xml:space="preserve">G</w:t>
      </w:r>
      <w:r>
        <w:t xml:space="preserve"> </w:t>
      </w:r>
      <w:r>
        <w:t xml:space="preserve">(1.04</w:t>
      </w:r>
      <w:r>
        <w:t xml:space="preserve">10^{-6}). In addition, two strains exhibit strain-by-sex interactions: molossinus</w:t>
      </w:r>
      <w:r>
        <w:rPr>
          <w:vertAlign w:val="superscript"/>
        </w:rPr>
        <w:t xml:space="preserve">MSM</w:t>
      </w:r>
      <w:r>
        <w:t xml:space="preserve"> </w:t>
      </w:r>
      <w:r>
        <w:t xml:space="preserve">(1.26</w:t>
      </w:r>
      <w:r>
        <w:t xml:space="preserve">10^{-4}) and musculus</w:t>
      </w:r>
      <w:r>
        <w:rPr>
          <w:vertAlign w:val="superscript"/>
        </w:rPr>
        <w:t xml:space="preserve">PWD</w:t>
      </w:r>
      <w:r>
        <w:t xml:space="preserve"> </w:t>
      </w:r>
      <w:r>
        <w:t xml:space="preserve">(3.86</w:t>
      </w:r>
      <w:r>
        <w:t xml:space="preserve">10^{-4}).</w:t>
      </w:r>
    </w:p>
    <w:p>
      <w:pPr>
        <w:pStyle w:val="BodyText"/>
      </w:pPr>
      <w:r>
        <w:t xml:space="preserve">We next fit general linear models separately for 192 males and 144 females (M4; see methods). In the male dataset, three strains significantly affect recombination rate: musculus</w:t>
      </w:r>
      <w:r>
        <w:rPr>
          <w:vertAlign w:val="superscript"/>
        </w:rPr>
        <w:t xml:space="preserve">PWD</w:t>
      </w:r>
      <w:r>
        <w:t xml:space="preserve"> </w:t>
      </w:r>
      <w:r>
        <w:t xml:space="preserve">((glm; p = 6.31</w:t>
      </w:r>
      <w:r>
        <w:t xml:space="preserve">10^{-8}; effect =</w:t>
      </w:r>
      <w:r>
        <w:t xml:space="preserve"> </w:t>
      </w:r>
      <w:r>
        <w:t xml:space="preserve">6.11 foci), and</w:t>
      </w:r>
      <w:r>
        <w:t xml:space="preserve"> </w:t>
      </w:r>
      <w:r>
        <w:t xml:space="preserve">musculus</w:t>
      </w:r>
      <w:r>
        <w:rPr>
          <w:vertAlign w:val="superscript"/>
        </w:rPr>
        <w:t xml:space="preserve">SKIVE</w:t>
      </w:r>
      <w:r>
        <w:t xml:space="preserve"> </w:t>
      </w:r>
      <w:r>
        <w:t xml:space="preserve">(glm; p = 0.01; 0; effect = 3.8), and</w:t>
      </w:r>
      <w:r>
        <w:t xml:space="preserve"> </w:t>
      </w:r>
      <w:r>
        <w:rPr>
          <w:i/>
        </w:rPr>
        <w:t xml:space="preserve">molossinus</w:t>
      </w:r>
      <w:r>
        <w:rPr>
          <w:vertAlign w:val="superscript"/>
          <w:i/>
        </w:rPr>
        <w:t xml:space="preserve">MSM</w:t>
      </w:r>
      <w:r>
        <w:t xml:space="preserve"> </w:t>
      </w:r>
      <w:r>
        <w:t xml:space="preserve">(glm; p=2.42</w:t>
      </w:r>
      <w:r>
        <w:t xml:space="preserve">10^{-12}; effect 6.99).</w:t>
      </w:r>
    </w:p>
    <w:p>
      <w:pPr>
        <w:pStyle w:val="BodyText"/>
      </w:pPr>
      <w:r>
        <w:t xml:space="preserve">These three strains point to rapid evolution in recombination rate in spermatocytes; we subsequently refer to them collectively as</w:t>
      </w:r>
      <w:r>
        <w:t xml:space="preserve"> </w:t>
      </w:r>
      <w:r>
        <w:t xml:space="preserve">“</w:t>
      </w:r>
      <w:r>
        <w:t xml:space="preserve">high-recombination</w:t>
      </w:r>
      <w:r>
        <w:t xml:space="preserve">”</w:t>
      </w:r>
      <w:r>
        <w:t xml:space="preserve"> </w:t>
      </w:r>
      <w:r>
        <w:t xml:space="preserve">strains. Analysis of the female dataset points to four strains with significant effects on recombination rate: domesticus</w:t>
      </w:r>
      <w:r>
        <w:rPr>
          <w:vertAlign w:val="superscript"/>
        </w:rPr>
        <w:t xml:space="preserve">G</w:t>
      </w:r>
      <w:r>
        <w:t xml:space="preserve"> </w:t>
      </w:r>
      <w:r>
        <w:t xml:space="preserve">(p = 2.5</w:t>
      </w:r>
      <w:r>
        <w:t xml:space="preserve">10^{-6}), molossinus</w:t>
      </w:r>
      <w:r>
        <w:rPr>
          <w:vertAlign w:val="superscript"/>
        </w:rPr>
        <w:t xml:space="preserve">MSM</w:t>
      </w:r>
      <w:r>
        <w:t xml:space="preserve"> </w:t>
      </w:r>
      <w:r>
        <w:t xml:space="preserve">(p = 6.24</w:t>
      </w:r>
      <w:r>
        <w:t xml:space="preserve">10^{-6}), domesticus</w:t>
      </w:r>
      <w:r>
        <w:rPr>
          <w:vertAlign w:val="superscript"/>
        </w:rPr>
        <w:t xml:space="preserve">LEW</w:t>
      </w:r>
      <w:r>
        <w:t xml:space="preserve"> </w:t>
      </w:r>
      <w:r>
        <w:t xml:space="preserve">(p = 0.01), and musculus</w:t>
      </w:r>
      <w:r>
        <w:rPr>
          <w:vertAlign w:val="superscript"/>
        </w:rPr>
        <w:t xml:space="preserve">PWD</w:t>
      </w:r>
      <w:r>
        <w:t xml:space="preserve"> </w:t>
      </w:r>
      <w:r>
        <w:t xml:space="preserve">(p=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pPr>
        <w:pStyle w:val="Heading1"/>
      </w:pPr>
      <w:bookmarkStart w:id="24" w:name="within-mouse-variance-in-co-count-per-cell"/>
      <w:bookmarkEnd w:id="24"/>
      <w:r>
        <w:t xml:space="preserve">Within mouse variance in CO count per cell</w:t>
      </w:r>
    </w:p>
    <w:p>
      <w:pPr>
        <w:pStyle w:val="FirstParagraph"/>
      </w:pPr>
      <w:r>
        <w:t xml:space="preserve">Counting MLH1 foci in multiple oocytes for each female and multiple spermatocytes for each male allowed us to examine determinants of the within-mouse variance in recombination rate. To do this, we considered the same models as above, but replaced mean MLH1 foci count with within-mouse variance in MLH1 foci count as the dependent variable. Sex is the only variable that significantly affects recombination rate in both the mixed model (M1) (p &lt; 10^{-6} – 0) and general linear models (M2) (p = 0.03) and M3 (p = 0.03).</w:t>
      </w:r>
    </w:p>
    <w:p>
      <w:pPr>
        <w:pStyle w:val="BodyText"/>
      </w:pPr>
      <w:r>
        <w:t xml:space="preserve">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0; M2 p = 2.3</w:t>
      </w:r>
      <w:r>
        <w:t xml:space="preserve">10^{-4}; also M3 p = 2.28</w:t>
      </w:r>
      <w:r>
        <w:t xml:space="preserve">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pPr>
        <w:pStyle w:val="BodyText"/>
      </w:pPr>
      <w:r>
        <w:t xml:space="preserve"> </w:t>
      </w:r>
      <w:r>
        <w:rPr>
          <w:b/>
        </w:rPr>
        <w:t xml:space="preserve">re-read Lenzi et al – heterogeneity in oogenesis</w:t>
      </w:r>
      <w:r>
        <w:t xml:space="preserve"> </w:t>
      </w:r>
    </w:p>
    <w:p>
      <w:pPr>
        <w:pStyle w:val="Heading1"/>
      </w:pPr>
      <w:bookmarkStart w:id="25" w:name="dsb.-evolution-of-genome-wide-recombination-rate-is-associated-with-evolution-of-double-strand-breaks"/>
      <w:bookmarkEnd w:id="25"/>
      <w:r>
        <w:t xml:space="preserve">DSB. Evolution of genome-wide recombination rate is associated with evolution of double strand breaks</w:t>
      </w:r>
    </w:p>
    <w:p>
      <w:pPr>
        <w:pStyle w:val="TableCaption"/>
      </w:pPr>
      <w:r>
        <w:t xml:space="preserve">Table continues below</w:t>
      </w:r>
    </w:p>
    <w:tbl>
      <w:tblPr>
        <w:tblStyle w:val="TableNormal"/>
        <w:tblW w:type="pct" w:w="4999.999999999998"/>
        <w:tblLook w:firstRow="1"/>
        <w:tblCaption w:val="Table continues below"/>
      </w:tblPr>
      <w:tblGrid>
        <w:gridCol w:w="902"/>
        <w:gridCol w:w="1102"/>
        <w:gridCol w:w="1203"/>
        <w:gridCol w:w="902"/>
        <w:gridCol w:w="1203"/>
        <w:gridCol w:w="1804"/>
        <w:gridCol w:w="80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category</w:t>
            </w:r>
          </w:p>
        </w:tc>
        <w:tc>
          <w:tcPr>
            <w:tcBorders>
              <w:bottom w:val="single"/>
            </w:tcBorders>
            <w:vAlign w:val="bottom"/>
          </w:tcPr>
          <w:p>
            <w:pPr>
              <w:pStyle w:val="Compact"/>
              <w:jc w:val="center"/>
            </w:pPr>
            <w:r>
              <w:t xml:space="preserve">mean MLH1</w:t>
            </w:r>
          </w:p>
        </w:tc>
        <w:tc>
          <w:tcPr>
            <w:tcBorders>
              <w:bottom w:val="single"/>
            </w:tcBorders>
            <w:vAlign w:val="bottom"/>
          </w:tcPr>
          <w:p>
            <w:pPr>
              <w:pStyle w:val="Compact"/>
              <w:jc w:val="center"/>
            </w:pPr>
            <w:r>
              <w:t xml:space="preserve">ncells</w:t>
            </w:r>
          </w:p>
        </w:tc>
        <w:tc>
          <w:tcPr>
            <w:tcBorders>
              <w:bottom w:val="single"/>
            </w:tcBorders>
            <w:vAlign w:val="bottom"/>
          </w:tcPr>
          <w:p>
            <w:pPr>
              <w:pStyle w:val="Compact"/>
              <w:jc w:val="center"/>
            </w:pPr>
            <w:r>
              <w:t xml:space="preserve">mean DMC1</w:t>
            </w:r>
          </w:p>
        </w:tc>
        <w:tc>
          <w:tcPr>
            <w:tcBorders>
              <w:bottom w:val="single"/>
            </w:tcBorders>
            <w:vAlign w:val="bottom"/>
          </w:tcPr>
          <w:p>
            <w:pPr>
              <w:pStyle w:val="Compact"/>
              <w:jc w:val="center"/>
            </w:pPr>
            <w:r>
              <w:t xml:space="preserve">MLH1:DMC1 ratio</w:t>
            </w:r>
          </w:p>
        </w:tc>
        <w:tc>
          <w:tcPr>
            <w:tcBorders>
              <w:bottom w:val="single"/>
            </w:tcBorders>
            <w:vAlign w:val="bottom"/>
          </w:tcPr>
          <w:p>
            <w:pPr>
              <w:pStyle w:val="Compact"/>
              <w:jc w:val="center"/>
            </w:pPr>
            <w:r>
              <w:t xml:space="preserve">ncells</w:t>
            </w:r>
          </w:p>
        </w:tc>
      </w:tr>
      <w:tr>
        <w:tc>
          <w:p>
            <w:pPr>
              <w:pStyle w:val="Compact"/>
              <w:jc w:val="center"/>
            </w:pPr>
            <w:r>
              <w:rPr>
                <w:b/>
              </w:rPr>
              <w:t xml:space="preserve">5</w:t>
            </w:r>
          </w:p>
        </w:tc>
        <w:tc>
          <w:p>
            <w:pPr>
              <w:pStyle w:val="Compact"/>
              <w:jc w:val="center"/>
            </w:pPr>
            <w:r>
              <w:t xml:space="preserve">WSB male</w:t>
            </w:r>
          </w:p>
        </w:tc>
        <w:tc>
          <w:p>
            <w:pPr>
              <w:pStyle w:val="Compact"/>
              <w:jc w:val="center"/>
            </w:pPr>
            <w:r>
              <w:t xml:space="preserve">24.38</w:t>
            </w:r>
          </w:p>
        </w:tc>
        <w:tc>
          <w:p>
            <w:pPr>
              <w:pStyle w:val="Compact"/>
              <w:jc w:val="center"/>
            </w:pPr>
            <w:r>
              <w:t xml:space="preserve">21</w:t>
            </w:r>
          </w:p>
        </w:tc>
        <w:tc>
          <w:p>
            <w:pPr>
              <w:pStyle w:val="Compact"/>
              <w:jc w:val="center"/>
            </w:pPr>
            <w:r>
              <w:t xml:space="preserve">177.8</w:t>
            </w:r>
          </w:p>
        </w:tc>
        <w:tc>
          <w:p>
            <w:pPr>
              <w:pStyle w:val="Compact"/>
              <w:jc w:val="center"/>
            </w:pPr>
            <w:r>
              <w:t xml:space="preserve">0.1372</w:t>
            </w:r>
          </w:p>
        </w:tc>
        <w:tc>
          <w:p>
            <w:pPr>
              <w:pStyle w:val="Compact"/>
              <w:jc w:val="center"/>
            </w:pPr>
            <w:r>
              <w:t xml:space="preserve">20</w:t>
            </w:r>
          </w:p>
        </w:tc>
      </w:tr>
      <w:tr>
        <w:tc>
          <w:p>
            <w:pPr>
              <w:pStyle w:val="Compact"/>
              <w:jc w:val="center"/>
            </w:pPr>
            <w:r>
              <w:rPr>
                <w:b/>
              </w:rPr>
              <w:t xml:space="preserve">1</w:t>
            </w:r>
          </w:p>
        </w:tc>
        <w:tc>
          <w:p>
            <w:pPr>
              <w:pStyle w:val="Compact"/>
              <w:jc w:val="center"/>
            </w:pPr>
            <w:r>
              <w:t xml:space="preserve">G male</w:t>
            </w:r>
          </w:p>
        </w:tc>
        <w:tc>
          <w:p>
            <w:pPr>
              <w:pStyle w:val="Compact"/>
              <w:jc w:val="center"/>
            </w:pPr>
            <w:r>
              <w:t xml:space="preserve">24.2</w:t>
            </w:r>
          </w:p>
        </w:tc>
        <w:tc>
          <w:p>
            <w:pPr>
              <w:pStyle w:val="Compact"/>
              <w:jc w:val="center"/>
            </w:pPr>
            <w:r>
              <w:t xml:space="preserve">19</w:t>
            </w:r>
          </w:p>
        </w:tc>
        <w:tc>
          <w:p>
            <w:pPr>
              <w:pStyle w:val="Compact"/>
              <w:jc w:val="center"/>
            </w:pPr>
            <w:r>
              <w:t xml:space="preserve">158.2</w:t>
            </w:r>
          </w:p>
        </w:tc>
        <w:tc>
          <w:p>
            <w:pPr>
              <w:pStyle w:val="Compact"/>
              <w:jc w:val="center"/>
            </w:pPr>
            <w:r>
              <w:t xml:space="preserve">0.153</w:t>
            </w:r>
          </w:p>
        </w:tc>
        <w:tc>
          <w:p>
            <w:pPr>
              <w:pStyle w:val="Compact"/>
              <w:jc w:val="center"/>
            </w:pPr>
            <w:r>
              <w:t xml:space="preserve">9</w:t>
            </w:r>
          </w:p>
        </w:tc>
      </w:tr>
      <w:tr>
        <w:tc>
          <w:p>
            <w:pPr>
              <w:pStyle w:val="Compact"/>
              <w:jc w:val="center"/>
            </w:pPr>
            <w:r>
              <w:rPr>
                <w:b/>
              </w:rPr>
              <w:t xml:space="preserve">2</w:t>
            </w:r>
          </w:p>
        </w:tc>
        <w:tc>
          <w:p>
            <w:pPr>
              <w:pStyle w:val="Compact"/>
              <w:jc w:val="center"/>
            </w:pPr>
            <w:r>
              <w:t xml:space="preserve">KAZ male</w:t>
            </w:r>
          </w:p>
        </w:tc>
        <w:tc>
          <w:p>
            <w:pPr>
              <w:pStyle w:val="Compact"/>
              <w:jc w:val="center"/>
            </w:pPr>
            <w:r>
              <w:t xml:space="preserve">24.23</w:t>
            </w:r>
          </w:p>
        </w:tc>
        <w:tc>
          <w:p>
            <w:pPr>
              <w:pStyle w:val="Compact"/>
              <w:jc w:val="center"/>
            </w:pPr>
            <w:r>
              <w:t xml:space="preserve">1</w:t>
            </w:r>
          </w:p>
        </w:tc>
        <w:tc>
          <w:p>
            <w:pPr>
              <w:pStyle w:val="Compact"/>
              <w:jc w:val="center"/>
            </w:pPr>
            <w:r>
              <w:t xml:space="preserve">159</w:t>
            </w:r>
          </w:p>
        </w:tc>
        <w:tc>
          <w:p>
            <w:pPr>
              <w:pStyle w:val="Compact"/>
              <w:jc w:val="center"/>
            </w:pPr>
            <w:r>
              <w:t xml:space="preserve">0.1524</w:t>
            </w:r>
          </w:p>
        </w:tc>
        <w:tc>
          <w:p>
            <w:pPr>
              <w:pStyle w:val="Compact"/>
              <w:jc w:val="center"/>
            </w:pPr>
            <w:r>
              <w:t xml:space="preserve">11</w:t>
            </w:r>
          </w:p>
        </w:tc>
      </w:tr>
      <w:tr>
        <w:tc>
          <w:p>
            <w:pPr>
              <w:pStyle w:val="Compact"/>
              <w:jc w:val="center"/>
            </w:pPr>
            <w:r>
              <w:rPr>
                <w:b/>
              </w:rPr>
              <w:t xml:space="preserve">4</w:t>
            </w:r>
          </w:p>
        </w:tc>
        <w:tc>
          <w:p>
            <w:pPr>
              <w:pStyle w:val="Compact"/>
              <w:jc w:val="center"/>
            </w:pPr>
            <w:r>
              <w:t xml:space="preserve">PWD male</w:t>
            </w:r>
          </w:p>
        </w:tc>
        <w:tc>
          <w:p>
            <w:pPr>
              <w:pStyle w:val="Compact"/>
              <w:jc w:val="center"/>
            </w:pPr>
            <w:r>
              <w:t xml:space="preserve">29.31</w:t>
            </w:r>
          </w:p>
        </w:tc>
        <w:tc>
          <w:p>
            <w:pPr>
              <w:pStyle w:val="Compact"/>
              <w:jc w:val="center"/>
            </w:pPr>
            <w:r>
              <w:t xml:space="preserve">18</w:t>
            </w:r>
          </w:p>
        </w:tc>
        <w:tc>
          <w:p>
            <w:pPr>
              <w:pStyle w:val="Compact"/>
              <w:jc w:val="center"/>
            </w:pPr>
            <w:r>
              <w:t xml:space="preserve">180.2</w:t>
            </w:r>
          </w:p>
        </w:tc>
        <w:tc>
          <w:p>
            <w:pPr>
              <w:pStyle w:val="Compact"/>
              <w:jc w:val="center"/>
            </w:pPr>
            <w:r>
              <w:t xml:space="preserve">0.1626</w:t>
            </w:r>
          </w:p>
        </w:tc>
        <w:tc>
          <w:p>
            <w:pPr>
              <w:pStyle w:val="Compact"/>
              <w:jc w:val="center"/>
            </w:pPr>
            <w:r>
              <w:t xml:space="preserve">18</w:t>
            </w:r>
          </w:p>
        </w:tc>
      </w:tr>
      <w:tr>
        <w:tc>
          <w:p>
            <w:pPr>
              <w:pStyle w:val="Compact"/>
              <w:jc w:val="center"/>
            </w:pPr>
            <w:r>
              <w:rPr>
                <w:b/>
              </w:rPr>
              <w:t xml:space="preserve">3</w:t>
            </w:r>
          </w:p>
        </w:tc>
        <w:tc>
          <w:p>
            <w:pPr>
              <w:pStyle w:val="Compact"/>
              <w:jc w:val="center"/>
            </w:pPr>
            <w:r>
              <w:t xml:space="preserve">MSM male</w:t>
            </w:r>
          </w:p>
        </w:tc>
        <w:tc>
          <w:p>
            <w:pPr>
              <w:pStyle w:val="Compact"/>
              <w:jc w:val="center"/>
            </w:pPr>
            <w:r>
              <w:t xml:space="preserve">31.23</w:t>
            </w:r>
          </w:p>
        </w:tc>
        <w:tc>
          <w:p>
            <w:pPr>
              <w:pStyle w:val="Compact"/>
              <w:jc w:val="center"/>
            </w:pPr>
            <w:r>
              <w:t xml:space="preserve">17</w:t>
            </w:r>
          </w:p>
        </w:tc>
        <w:tc>
          <w:p>
            <w:pPr>
              <w:pStyle w:val="Compact"/>
              <w:jc w:val="center"/>
            </w:pPr>
            <w:r>
              <w:t xml:space="preserve">231</w:t>
            </w:r>
          </w:p>
        </w:tc>
        <w:tc>
          <w:p>
            <w:pPr>
              <w:pStyle w:val="Compact"/>
              <w:jc w:val="center"/>
            </w:pPr>
            <w:r>
              <w:t xml:space="preserve">0.1352</w:t>
            </w:r>
          </w:p>
        </w:tc>
        <w:tc>
          <w:p>
            <w:pPr>
              <w:pStyle w:val="Compact"/>
              <w:jc w:val="center"/>
            </w:pPr>
            <w:r>
              <w:t xml:space="preserve">17</w:t>
            </w:r>
          </w:p>
        </w:tc>
      </w:tr>
    </w:tbl>
    <w:tbl>
      <w:tblPr>
        <w:tblStyle w:val="TableNormal"/>
        <w:tblW w:type="pct" w:w="2638.8888888888882"/>
        <w:tblLook w:firstRow="1"/>
      </w:tblPr>
      <w:tblGrid>
        <w:gridCol w:w="990"/>
        <w:gridCol w:w="1320"/>
        <w:gridCol w:w="18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mean DMC1</w:t>
            </w:r>
          </w:p>
        </w:tc>
        <w:tc>
          <w:tcPr>
            <w:tcBorders>
              <w:bottom w:val="single"/>
            </w:tcBorders>
            <w:vAlign w:val="bottom"/>
          </w:tcPr>
          <w:p>
            <w:pPr>
              <w:pStyle w:val="Compact"/>
              <w:jc w:val="center"/>
            </w:pPr>
            <w:r>
              <w:t xml:space="preserve">MLH1:DMC1 ratio</w:t>
            </w:r>
          </w:p>
        </w:tc>
      </w:tr>
      <w:tr>
        <w:tc>
          <w:p>
            <w:pPr>
              <w:pStyle w:val="Compact"/>
              <w:jc w:val="center"/>
            </w:pPr>
            <w:r>
              <w:rPr>
                <w:b/>
              </w:rPr>
              <w:t xml:space="preserve">5</w:t>
            </w:r>
          </w:p>
        </w:tc>
        <w:tc>
          <w:p>
            <w:pPr>
              <w:pStyle w:val="Compact"/>
              <w:jc w:val="center"/>
            </w:pPr>
            <w:r>
              <w:t xml:space="preserve">144.2</w:t>
            </w:r>
          </w:p>
        </w:tc>
        <w:tc>
          <w:p>
            <w:pPr>
              <w:pStyle w:val="Compact"/>
              <w:jc w:val="center"/>
            </w:pPr>
            <w:r>
              <w:t xml:space="preserve">0.169</w:t>
            </w:r>
          </w:p>
        </w:tc>
      </w:tr>
      <w:tr>
        <w:tc>
          <w:p>
            <w:pPr>
              <w:pStyle w:val="Compact"/>
              <w:jc w:val="center"/>
            </w:pPr>
            <w:r>
              <w:rPr>
                <w:b/>
              </w:rPr>
              <w:t xml:space="preserve">1</w:t>
            </w:r>
          </w:p>
        </w:tc>
        <w:tc>
          <w:p>
            <w:pPr>
              <w:pStyle w:val="Compact"/>
              <w:jc w:val="center"/>
            </w:pPr>
            <w:r>
              <w:t xml:space="preserve">131.8</w:t>
            </w:r>
          </w:p>
        </w:tc>
        <w:tc>
          <w:p>
            <w:pPr>
              <w:pStyle w:val="Compact"/>
              <w:jc w:val="center"/>
            </w:pPr>
            <w:r>
              <w:t xml:space="preserve">0.1836</w:t>
            </w:r>
          </w:p>
        </w:tc>
      </w:tr>
      <w:tr>
        <w:tc>
          <w:p>
            <w:pPr>
              <w:pStyle w:val="Compact"/>
              <w:jc w:val="center"/>
            </w:pPr>
            <w:r>
              <w:rPr>
                <w:b/>
              </w:rPr>
              <w:t xml:space="preserve">2</w:t>
            </w:r>
          </w:p>
        </w:tc>
        <w:tc>
          <w:p>
            <w:pPr>
              <w:pStyle w:val="Compact"/>
              <w:jc w:val="center"/>
            </w:pPr>
            <w:r>
              <w:t xml:space="preserve">167.4</w:t>
            </w:r>
          </w:p>
        </w:tc>
        <w:tc>
          <w:p>
            <w:pPr>
              <w:pStyle w:val="Compact"/>
              <w:jc w:val="center"/>
            </w:pPr>
            <w:r>
              <w:t xml:space="preserve">0.1448</w:t>
            </w:r>
          </w:p>
        </w:tc>
      </w:tr>
      <w:tr>
        <w:tc>
          <w:p>
            <w:pPr>
              <w:pStyle w:val="Compact"/>
              <w:jc w:val="center"/>
            </w:pPr>
            <w:r>
              <w:rPr>
                <w:b/>
              </w:rPr>
              <w:t xml:space="preserve">4</w:t>
            </w:r>
          </w:p>
        </w:tc>
        <w:tc>
          <w:p>
            <w:pPr>
              <w:pStyle w:val="Compact"/>
              <w:jc w:val="center"/>
            </w:pPr>
            <w:r>
              <w:t xml:space="preserve">140.8</w:t>
            </w:r>
          </w:p>
        </w:tc>
        <w:tc>
          <w:p>
            <w:pPr>
              <w:pStyle w:val="Compact"/>
              <w:jc w:val="center"/>
            </w:pPr>
            <w:r>
              <w:t xml:space="preserve">0.2082</w:t>
            </w:r>
          </w:p>
        </w:tc>
      </w:tr>
      <w:tr>
        <w:tc>
          <w:p>
            <w:pPr>
              <w:pStyle w:val="Compact"/>
              <w:jc w:val="center"/>
            </w:pPr>
            <w:r>
              <w:rPr>
                <w:b/>
              </w:rPr>
              <w:t xml:space="preserve">3</w:t>
            </w:r>
          </w:p>
        </w:tc>
        <w:tc>
          <w:p>
            <w:pPr>
              <w:pStyle w:val="Compact"/>
              <w:jc w:val="center"/>
            </w:pPr>
            <w:r>
              <w:t xml:space="preserve">164.4</w:t>
            </w:r>
          </w:p>
        </w:tc>
        <w:tc>
          <w:p>
            <w:pPr>
              <w:pStyle w:val="Compact"/>
              <w:jc w:val="center"/>
            </w:pPr>
            <w:r>
              <w:t xml:space="preserve">0.1899</w:t>
            </w:r>
          </w:p>
        </w:tc>
      </w:tr>
    </w:tbl>
    <w:p>
      <w:pPr>
        <w:pStyle w:val="BodyText"/>
      </w:pPr>
      <w:r>
        <w:drawing>
          <wp:inline>
            <wp:extent cx="4620126" cy="3696101"/>
            <wp:effectExtent b="0" l="0" r="0" t="0"/>
            <wp:docPr descr="" title="" id="1" name="Picture"/>
            <a:graphic>
              <a:graphicData uri="http://schemas.openxmlformats.org/drawingml/2006/picture">
                <pic:pic>
                  <pic:nvPicPr>
                    <pic:cNvPr descr="Results_v2_files/figure-docx/MAIN.DMC1.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an attempt to localize the male-specific evolution of crossover number to steps of the meiotic pathway, we counted foci from a marker for double strand breaks (DSBs), DMC1, in prophase spermatocytes. DMC1 foci were scored from a total of 0 early zygotene-stage and 0 late zygotene-stage spermatocytes from three low-recombination strains (musculus</w:t>
      </w:r>
      <w:r>
        <w:rPr>
          <w:vertAlign w:val="superscript"/>
        </w:rPr>
        <w:t xml:space="preserve">KAZ</w:t>
      </w:r>
      <w:r>
        <w:t xml:space="preserve"> </w:t>
      </w:r>
      <w:r>
        <w:t xml:space="preserve">, domesticus</w:t>
      </w:r>
      <w:r>
        <w:rPr>
          <w:vertAlign w:val="superscript"/>
        </w:rPr>
        <w:t xml:space="preserve">WSB</w:t>
      </w:r>
      <w:r>
        <w:t xml:space="preserve"> </w:t>
      </w:r>
      <w:r>
        <w:t xml:space="preserve">, and domesticus</w:t>
      </w:r>
      <w:r>
        <w:rPr>
          <w:vertAlign w:val="superscript"/>
        </w:rPr>
        <w:t xml:space="preserve">G</w:t>
      </w:r>
      <w:r>
        <w:t xml:space="preserve">) and two high-recombination strains (musculus</w:t>
      </w:r>
      <w:r>
        <w:rPr>
          <w:vertAlign w:val="superscript"/>
        </w:rPr>
        <w:t xml:space="preserve">PWD</w:t>
      </w:r>
      <w:r>
        <w:t xml:space="preserve"> </w:t>
      </w:r>
      <w:r>
        <w:t xml:space="preserve">and molossinus</w:t>
      </w:r>
      <w:r>
        <w:rPr>
          <w:vertAlign w:val="superscript"/>
        </w:rPr>
        <w:t xml:space="preserve">MSM</w:t>
      </w:r>
      <w:r>
        <w:t xml:space="preserve">).</w:t>
      </w:r>
    </w:p>
    <w:p>
      <w:pPr>
        <w:pStyle w:val="BodyText"/>
      </w:pPr>
      <w:r>
        <w:t xml:space="preserve">The high-recombination strains have significantly more DMC1 foci than the low-recombination strains in early zygotene cells (t-test, p&lt; – 10^{-6} – 0). In contrast, the two strain groups do not differ in DMC1 foci counted in late zygotene cells (t-test, p = 0.66 — 0.66).</w:t>
      </w:r>
    </w:p>
    <w:p>
      <w:pPr>
        <w:pStyle w:val="BodyText"/>
      </w:pPr>
      <w:r>
        <w:t xml:space="preserve">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 and p = 0.11 for early zygotene and late zygotene ratios, respectively).</w:t>
      </w:r>
    </w:p>
    <w:p>
      <w:pPr>
        <w:pStyle w:val="BodyText"/>
      </w:pPr>
      <w:r>
        <w:t xml:space="preserve">This comparison raises the possibility that the evolution of crossover number is primarily due to processes that precede the crossover/non-crossover decision.</w:t>
      </w:r>
      <w:r>
        <w:t xml:space="preserve"> </w:t>
      </w:r>
      <w:r>
        <w:t xml:space="preserve">(Cole et al. 2012)</w:t>
      </w:r>
      <w:r>
        <w:t xml:space="preserve"> </w:t>
      </w:r>
      <w:r>
        <w:t xml:space="preserve">suggest that early zygotene counts for DMC1 are most relevant for predicting the final CO number due to the crossover homeostasis process. This result, combined with the big difference in MLH1 count between high and low strains, might indicate that the CO/NCO decision contributes to strain differences in recombination rate.</w:t>
      </w:r>
    </w:p>
    <w:p>
      <w:pPr>
        <w:pStyle w:val="BodyText"/>
      </w:pPr>
    </w:p>
    <w:p>
      <w:pPr>
        <w:pStyle w:val="BodyText"/>
      </w:pPr>
    </w:p>
    <w:p>
      <w:pPr>
        <w:pStyle w:val="BodyText"/>
      </w:pPr>
    </w:p>
    <w:p>
      <w:pPr>
        <w:pStyle w:val="BodyText"/>
      </w:pPr>
    </w:p>
    <w:p>
      <w:pPr>
        <w:pStyle w:val="Heading1"/>
      </w:pPr>
      <w:bookmarkStart w:id="27" w:name="evolution-of-genome-wide-recombination-rate-is-reflected-at-the-single-chromosome-level"/>
      <w:bookmarkEnd w:id="27"/>
      <w:r>
        <w:t xml:space="preserve">Evolution of genome-wide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Chrm.props.plot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examine the connection between evolution of the genome-wide recombination rate and changes to the recombination landscape, we used an image analysis pipeline to measure properties of single bivalents (</w:t>
      </w:r>
      <w:r>
        <w:t xml:space="preserve">(Peterson, Miller, and Payseur 2019)</w:t>
      </w:r>
      <w:r>
        <w:t xml:space="preserve">).</w:t>
      </w:r>
    </w:p>
    <w:p>
      <w:pPr>
        <w:pStyle w:val="BodyText"/>
      </w:pPr>
      <w:r>
        <w:t xml:space="preserve"> </w:t>
      </w:r>
      <w:r>
        <w:t xml:space="preserve">This algorithm substantially speeds the accurate measurement of bivalents, but has the limitation that not all bivalents per cell can be isolated due to overlapping bivalents. In this dataset, isolation rates per cell range from 0.51 (molossinus</w:t>
      </w:r>
      <w:r>
        <w:rPr>
          <w:vertAlign w:val="superscript"/>
        </w:rPr>
        <w:t xml:space="preserve">MSM</w:t>
      </w:r>
      <w:r>
        <w:t xml:space="preserve"> </w:t>
      </w:r>
      <w:r>
        <w:t xml:space="preserve">male) to 0.72 (musculus</w:t>
      </w:r>
      <w:r>
        <w:rPr>
          <w:vertAlign w:val="superscript"/>
        </w:rPr>
        <w:t xml:space="preserve">KAZ</w:t>
      </w:r>
      <w:r>
        <w:t xml:space="preserve"> </w:t>
      </w:r>
      <w:r>
        <w:t xml:space="preserve">female).</w:t>
      </w:r>
    </w:p>
    <w:p>
      <w:pPr>
        <w:pStyle w:val="BodyText"/>
      </w:pPr>
      <w:r>
        <w:t xml:space="preserve">From the total set of cell images, 10458 bivalent objects were isolated by the image analysis software. After a human curation step (</w:t>
      </w:r>
      <w:r>
        <w:t xml:space="preserve">(Peterson, Miller, and Payseur 2019)</w:t>
      </w:r>
      <w:r>
        <w:t xml:space="preserve">), 9829 single-bivalent observations remained. We assume that the isolation of bivalents within cells is unbiased.</w:t>
      </w:r>
      <w:r>
        <w:t xml:space="preserve"> </w:t>
      </w:r>
    </w:p>
    <w:p>
      <w:pPr>
        <w:pStyle w:val="BodyText"/>
      </w:pPr>
      <w:r>
        <w:t xml:space="preserve">Given the large number of single-bivalent observations, we assume that each of the datasets are equally representative of general patterns.</w:t>
      </w:r>
      <w:r>
        <w:t xml:space="preserve"> </w:t>
      </w:r>
    </w:p>
    <w:p>
      <w:pPr>
        <w:pStyle w:val="BodyText"/>
      </w:pPr>
      <w:r>
        <w:t xml:space="preserve">An additional challenge of the MLH1 framework is that the identities of individual autosomes and the XX in females cannot be easily obtained (the male XY is distinct).</w:t>
      </w:r>
      <w:r>
        <w:t xml:space="preserve"> </w:t>
      </w:r>
    </w:p>
    <w:p>
      <w:pPr>
        <w:pStyle w:val="BodyText"/>
      </w:pPr>
      <w:r>
        <w:t xml:space="preserve">Ninety-six percent of single bivalents in our pooled dataset (n = 34982) have either one or two crossovers (Figure X). The proportion of one-crossover (1CO) to two-crossover (2CO) bivalents distinguishes the high vs. low recombining strains (Figure X). High-recombination strains are enriched for 2CO bivalents at the expense of 1CO bivalents: proportions of 2CO bivalents are 0.33 – 0.33 (</w:t>
      </w:r>
      <w:r>
        <w:t xml:space="preserve"> </w:t>
      </w:r>
      <w:r>
        <w:rPr>
          <w:i/>
        </w:rPr>
        <w:t xml:space="preserve">musculus</w:t>
      </w:r>
      <w:r>
        <w:rPr>
          <w:vertAlign w:val="superscript"/>
          <w:i/>
        </w:rPr>
        <w:t xml:space="preserve">SKIVE</w:t>
      </w:r>
      <w:r>
        <w:t xml:space="preserve"> </w:t>
      </w:r>
      <w:r>
        <w:t xml:space="preserve">) in musculus</w:t>
      </w:r>
      <w:r>
        <w:rPr>
          <w:vertAlign w:val="superscript"/>
        </w:rPr>
        <w:t xml:space="preserve">SKIVE</w:t>
      </w:r>
      <w:r>
        <w:t xml:space="preserve">, 0.44 – 0.44 in musculus</w:t>
      </w:r>
      <w:r>
        <w:rPr>
          <w:vertAlign w:val="superscript"/>
        </w:rPr>
        <w:t xml:space="preserve">PWD</w:t>
      </w:r>
      <w:r>
        <w:t xml:space="preserve">, and 0.53 in molossinus</w:t>
      </w:r>
      <w:r>
        <w:rPr>
          <w:vertAlign w:val="superscript"/>
        </w:rPr>
        <w:t xml:space="preserve">MSM</w:t>
      </w:r>
      <w:r>
        <w:t xml:space="preserve">.</w:t>
      </w:r>
    </w:p>
    <w:p>
      <w:pPr>
        <w:pStyle w:val="BodyText"/>
      </w:pPr>
      <w:r>
        <w:t xml:space="preserve">Following patterns in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have 2CO proportions that are more similar to each other than to strains from their own subspecies (chi-square tests; musculus</w:t>
      </w:r>
      <w:r>
        <w:rPr>
          <w:vertAlign w:val="superscript"/>
        </w:rPr>
        <w:t xml:space="preserve">PWD</w:t>
      </w:r>
      <w:r>
        <w:t xml:space="preserve"> </w:t>
      </w:r>
      <w:r>
        <w:t xml:space="preserve">vs. musculus</w:t>
      </w:r>
      <w:r>
        <w:rPr>
          <w:vertAlign w:val="superscript"/>
        </w:rPr>
        <w:t xml:space="preserve">KAZ</w:t>
      </w:r>
      <w:r>
        <w:t xml:space="preserve"> </w:t>
      </w:r>
      <w:r>
        <w:t xml:space="preserve">p = 3.15</w:t>
      </w:r>
      <w:r>
        <w:t xml:space="preserve">10^{-33}; molossinus</w:t>
      </w:r>
      <w:r>
        <w:rPr>
          <w:vertAlign w:val="superscript"/>
        </w:rPr>
        <w:t xml:space="preserve">MSM</w:t>
      </w:r>
      <w:r>
        <w:t xml:space="preserve"> </w:t>
      </w:r>
      <w:r>
        <w:t xml:space="preserve">vs. molossinus</w:t>
      </w:r>
      <w:r>
        <w:rPr>
          <w:vertAlign w:val="superscript"/>
        </w:rPr>
        <w:t xml:space="preserve">MOLF</w:t>
      </w:r>
      <w:r>
        <w:t xml:space="preserve"> </w:t>
      </w:r>
      <w:r>
        <w:t xml:space="preserve">p = 4.72</w:t>
      </w:r>
      <w:r>
        <w:t xml:space="preserve">10^{-13}).</w:t>
      </w:r>
    </w:p>
    <w:p>
      <w:pPr>
        <w:pStyle w:val="BodyText"/>
      </w:pPr>
      <w:r>
        <w:t xml:space="preserve">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pPr>
        <w:pStyle w:val="Heading1"/>
      </w:pPr>
      <w:bookmarkStart w:id="29" w:name="q1.-sex-differences-in-the-length-of-the-synaptonemal-complex"/>
      <w:bookmarkEnd w:id="29"/>
      <w:r>
        <w:t xml:space="preserve">Q1. Sex Differences in the Length of the Synaptonemal Complex</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1.SC.show.short.biv-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v2_files/figure-docx/Q1.tot.SC_show-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many mammalian species, the synaptonemal complex (SC) is longer in females.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musculus</w:t>
      </w:r>
      <w:r>
        <w:rPr>
          <w:vertAlign w:val="superscript"/>
        </w:rPr>
        <w:t xml:space="preserve">PWD</w:t>
      </w:r>
      <w:r>
        <w:t xml:space="preserve"> </w:t>
      </w:r>
      <w:r>
        <w:t xml:space="preserve">and male molossinus</w:t>
      </w:r>
      <w:r>
        <w:rPr>
          <w:vertAlign w:val="superscript"/>
        </w:rPr>
        <w:t xml:space="preserve">MSM</w:t>
      </w:r>
      <w:r>
        <w:t xml:space="preserve"> </w:t>
      </w:r>
      <w:r>
        <w:t xml:space="preserve">should have longer SC lengths than the other strains.</w:t>
      </w:r>
      <w:r>
        <w:t xml:space="preserve"> </w:t>
      </w:r>
    </w:p>
    <w:p>
      <w:pPr>
        <w:pStyle w:val="BodyText"/>
      </w:pPr>
      <w:r>
        <w:t xml:space="preserve">Short bivalents are significantly longer in females than males in all strains (t-test; p &lt; 0.05) except musculus</w:t>
      </w:r>
      <w:r>
        <w:rPr>
          <w:vertAlign w:val="superscript"/>
        </w:rPr>
        <w:t xml:space="preserve">SKIVE</w:t>
      </w:r>
      <w:r>
        <w:t xml:space="preserve">. The female:male ratio ranges across strains from 1.15 (musculus</w:t>
      </w:r>
      <w:r>
        <w:rPr>
          <w:vertAlign w:val="superscript"/>
        </w:rPr>
        <w:t xml:space="preserve">MSM</w:t>
      </w:r>
      <w:r>
        <w:t xml:space="preserve">) to 1.49 (domesticus</w:t>
      </w:r>
      <w:r>
        <w:rPr>
          <w:vertAlign w:val="superscript"/>
        </w:rPr>
        <w:t xml:space="preserve">WSB</w:t>
      </w:r>
      <w:r>
        <w:t xml:space="preserve">).</w:t>
      </w:r>
      <w:r>
        <w:t xml:space="preserve"> </w:t>
      </w:r>
    </w:p>
    <w:p>
      <w:pPr>
        <w:pStyle w:val="BodyText"/>
      </w:pPr>
      <w:r>
        <w:t xml:space="preserve">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w:t>
      </w:r>
    </w:p>
    <w:p>
      <w:pPr>
        <w:pStyle w:val="BodyText"/>
      </w:pPr>
      <w:r>
        <w:t xml:space="preserve">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w:t>
      </w:r>
      <w:r>
        <w:t xml:space="preserve"> </w:t>
      </w:r>
      <w:r>
        <w:t xml:space="preserve">“</w:t>
      </w:r>
      <w:r>
        <w:t xml:space="preserve">space</w:t>
      </w:r>
      <w:r>
        <w:t xml:space="preserve">”</w:t>
      </w:r>
      <w:r>
        <w:t xml:space="preserve"> </w:t>
      </w:r>
      <w:r>
        <w:t xml:space="preserve">in which to place their additional crossovers.</w:t>
      </w:r>
    </w:p>
    <w:p>
      <w:pPr>
        <w:pStyle w:val="Heading1"/>
      </w:pPr>
      <w:bookmarkStart w:id="32" w:name="q1.-sex-differences-in-the-positions-of-single-crossovers"/>
      <w:bookmarkEnd w:id="32"/>
      <w:r>
        <w:t xml:space="preserve">Q1. Sex Differences in the Positions of Single Crossovers</w:t>
      </w:r>
    </w:p>
    <w:p>
      <w:pPr>
        <w:pStyle w:val="FirstParagraph"/>
      </w:pPr>
      <w:r>
        <w:t xml:space="preserve">In most of the strains we surveyed, the majority of bivalents are observed to contain one crossover (focus). In all strains, the landscape across 1CO bivalents is significantly different in females and males. Normalized foci positions tend to be more central in females 0.56 and closer to the telomere in males 0.68 (t-test; p = 2.92</w:t>
      </w:r>
      <w:r>
        <w:t xml:space="preserve">10^{-22}). Sex is also the most significant effect on focus position in a mixed model (M1: p = 1.26</w:t>
      </w:r>
      <w:r>
        <w:t xml:space="preserve">10^{-25}) and in general linear models (M2: p = 1.33</w:t>
      </w:r>
      <w:r>
        <w:t xml:space="preserve">10^{-7}; M3: p = 1.33</w:t>
      </w:r>
      <w:r>
        <w:t xml:space="preserve">10^{-7}). These sex differences in the placement of foci on 1CO bivalents follow a pattern observed across a variety of mammalian species</w:t>
      </w:r>
      <w:r>
        <w:t xml:space="preserve"> </w:t>
      </w:r>
      <w:r>
        <w:t xml:space="preserve">(Sardell and Kirkpatrick 2020)</w:t>
      </w:r>
      <w:r>
        <w:t xml:space="preserve">.</w:t>
      </w:r>
    </w:p>
    <w:p>
      <w:pPr>
        <w:pStyle w:val="Heading1"/>
      </w:pPr>
      <w:bookmarkStart w:id="33" w:name="q1.-sex-differences-in-co-interference-ifd"/>
      <w:bookmarkEnd w:id="33"/>
      <w:r>
        <w:t xml:space="preserve">Q1. Sex Differences in CO Interference (IFD)</w:t>
      </w:r>
    </w:p>
    <w:p>
      <w:pPr>
        <w:pStyle w:val="FigureWithCaption"/>
      </w:pPr>
      <w:r>
        <w:drawing>
          <wp:inline>
            <wp:extent cx="4620126" cy="3696101"/>
            <wp:effectExtent b="0" l="0" r="0" t="0"/>
            <wp:docPr descr="Example of Sex differences in IFD distributions" title="" id="1" name="Picture"/>
            <a:graphic>
              <a:graphicData uri="http://schemas.openxmlformats.org/drawingml/2006/picture">
                <pic:pic>
                  <pic:nvPicPr>
                    <pic:cNvPr descr="Results_v2_files/figure-docx/Q1.IFD_load.triang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Example of Sex differences in IFD distributions</w:t>
      </w:r>
    </w:p>
    <w:p>
      <w:pPr>
        <w:pStyle w:val="BodyText"/>
      </w:pPr>
      <w:r>
        <w:t xml:space="preserve">There is no strong signal of sex differences in raw mean inter-focal distances (IFD</w:t>
      </w:r>
      <w:r>
        <w:rPr>
          <w:vertAlign w:val="superscript"/>
        </w:rPr>
        <w:t xml:space="preserve">raw</w:t>
      </w:r>
      <w:r>
        <w:t xml:space="preserve">) across the full set of strains. A marginally significant difference between the sexes (t-test; p = 0.07 – 0.07) is driven by one strain (t-test without domesticus</w:t>
      </w:r>
      <w:r>
        <w:rPr>
          <w:vertAlign w:val="superscript"/>
        </w:rPr>
        <w:t xml:space="preserve">G</w:t>
      </w:r>
      <w:r>
        <w:t xml:space="preserve">; p = 0.27 – 0.02). This result indicates that females and males exhibit a similar level of interference when it is measured in physical (SC) units. In contrast, males have significantly longer normalized mean inter-focal distances (IFD</w:t>
      </w:r>
      <w:r>
        <w:rPr>
          <w:vertAlign w:val="superscript"/>
        </w:rPr>
        <w:t xml:space="preserve">norm</w:t>
      </w:r>
      <w:r>
        <w:t xml:space="preserve">) than females in seven out of eight strains (t-tests; p &lt; 0.02 – 1.49</w:t>
      </w:r>
      <w:r>
        <w:t xml:space="preserve">10^{-12}), with only musculus</w:t>
      </w:r>
      <w:r>
        <w:rPr>
          <w:vertAlign w:val="superscript"/>
        </w:rPr>
        <w:t xml:space="preserve">KAZ</w:t>
      </w:r>
      <w:r>
        <w:t xml:space="preserve"> </w:t>
      </w:r>
      <w:r>
        <w:t xml:space="preserve">showing no difference (t-test; p = 0.33 – 0.33). Examination of IFD</w:t>
      </w:r>
      <w:r>
        <w:rPr>
          <w:vertAlign w:val="superscript"/>
        </w:rPr>
        <w:t xml:space="preserve">norm</w:t>
      </w:r>
      <w:r>
        <w:t xml:space="preserve"> </w:t>
      </w:r>
      <w:r>
        <w:t xml:space="preserve">distributions indicates that female IFD</w:t>
      </w:r>
      <w:r>
        <w:rPr>
          <w:vertAlign w:val="superscript"/>
        </w:rPr>
        <w:t xml:space="preserve">norm</w:t>
      </w:r>
      <w:r>
        <w:t xml:space="preserve"> </w:t>
      </w:r>
      <w:r>
        <w:t xml:space="preserve">values are centered at approximately 50% and show a slight enrichment of low (&lt;25%) values, whereas males are enriched for higher values.</w:t>
      </w:r>
      <w:r>
        <w:t xml:space="preserve"> </w:t>
      </w:r>
      <w:r>
        <w:t xml:space="preserve">Mixed models and general linear models of IFD</w:t>
      </w:r>
      <w:r>
        <w:rPr>
          <w:vertAlign w:val="superscript"/>
        </w:rPr>
        <w:t xml:space="preserve">norm</w:t>
      </w:r>
      <w:r>
        <w:t xml:space="preserve"> </w:t>
      </w:r>
      <w:r>
        <w:t xml:space="preserve">support the inference of stronger interference in males: sex is the most significant variable (M1 - LRT</w:t>
      </w:r>
      <w:r>
        <w:t xml:space="preserve"> </w:t>
      </w:r>
      <w:r>
        <w:rPr>
          <w:b/>
        </w:rPr>
        <w:t xml:space="preserve">random</w:t>
      </w:r>
      <w:r>
        <w:t xml:space="preserve">: p = 6.7410^{-14} – 6.74</w:t>
      </w:r>
      <w:r>
        <w:t xml:space="preserve">10^{-14} glm</w:t>
      </w:r>
      <w:r>
        <w:t xml:space="preserve"> </w:t>
      </w:r>
      <w:r>
        <w:rPr>
          <w:i/>
        </w:rPr>
        <w:t xml:space="preserve">M2</w:t>
      </w:r>
      <w:r>
        <w:t xml:space="preserve"> </w:t>
      </w:r>
      <w:r>
        <w:t xml:space="preserve">0.01</w:t>
      </w:r>
      <w:r>
        <w:t xml:space="preserve"> </w:t>
      </w:r>
      <w:r>
        <w:rPr>
          <w:i/>
        </w:rPr>
        <w:t xml:space="preserve">M3</w:t>
      </w:r>
      <w:r>
        <w:t xml:space="preserve"> </w:t>
      </w:r>
      <w:r>
        <w:t xml:space="preserve">0.01). When interference is measured in physical SC units (IFD</w:t>
      </w:r>
      <w:r>
        <w:rPr>
          <w:vertAlign w:val="superscript"/>
        </w:rPr>
        <w:t xml:space="preserve">raw</w:t>
      </w:r>
      <w:r>
        <w:t xml:space="preserve">), the differences between sexes is low and only slightly significant (data not shown).</w:t>
      </w:r>
      <w:r>
        <w:t xml:space="preserve"> </w:t>
      </w:r>
      <w:r>
        <w:t xml:space="preserve">In summary, controlling for differences in chromatin compaction (SC length) using IFDnorm indicates that interference is stronger in males, whereas consideration of IFD</w:t>
      </w:r>
      <w:r>
        <w:rPr>
          <w:vertAlign w:val="superscript"/>
        </w:rPr>
        <w:t xml:space="preserve">raw</w:t>
      </w:r>
      <w:r>
        <w:t xml:space="preserve"> </w:t>
      </w:r>
      <w:r>
        <w:t xml:space="preserve">shows that the sexes exhibit a similar level of interference on the physical (SC) scale. While the comparisons of the IFD</w:t>
      </w:r>
      <w:r>
        <w:rPr>
          <w:vertAlign w:val="superscript"/>
        </w:rPr>
        <w:t xml:space="preserve">norm</w:t>
      </w:r>
      <w:r>
        <w:t xml:space="preserve"> </w:t>
      </w:r>
      <w:r>
        <w:t xml:space="preserve">metrics can reveal more general recombination landscape patterns while controlling for the underlying differences in chromatin compaction and SC length.</w:t>
      </w:r>
    </w:p>
    <w:p>
      <w:pPr>
        <w:pStyle w:val="BodyText"/>
      </w:pPr>
    </w:p>
    <w:p>
      <w:pPr>
        <w:pStyle w:val="Heading1"/>
      </w:pPr>
      <w:bookmarkStart w:id="35" w:name="additional-determinants-of-genome-wide-recombination-rate-evolution-in-males"/>
      <w:bookmarkEnd w:id="35"/>
      <w:r>
        <w:t xml:space="preserve">Additional Determinants of Genome-wide Recombination Rate Evolution in Males</w:t>
      </w:r>
    </w:p>
    <w:p>
      <w:pPr>
        <w:pStyle w:val="FirstParagraph"/>
      </w:pPr>
      <w:r>
        <w:t xml:space="preserve">The next section is meant to focusNext, we used the contrast between high-recombination strains (musculus</w:t>
      </w:r>
      <w:r>
        <w:rPr>
          <w:vertAlign w:val="superscript"/>
        </w:rPr>
        <w:t xml:space="preserve">PWD</w:t>
      </w:r>
      <w:r>
        <w:t xml:space="preserve"> </w:t>
      </w:r>
      <w:r>
        <w:t xml:space="preserve">, musculus</w:t>
      </w:r>
      <w:r>
        <w:rPr>
          <w:vertAlign w:val="superscript"/>
        </w:rPr>
        <w:t xml:space="preserve">SKIVE</w:t>
      </w:r>
      <w:r>
        <w:t xml:space="preserve">, and molossinus</w:t>
      </w:r>
      <w:r>
        <w:rPr>
          <w:vertAlign w:val="superscript"/>
        </w:rPr>
        <w:t xml:space="preserve">MSM</w:t>
      </w:r>
      <w:r>
        <w:t xml:space="preserve">) and low-recombination strains to identify features of the recombination landscape associated with evolutionary transitions in the genome-wide recombination rate.</w:t>
      </w:r>
      <w:r>
        <w:t xml:space="preserve"> </w:t>
      </w:r>
      <w:r>
        <w:t xml:space="preserve">on the greater aspect of variation in mean MLH1 counts per cell the high recombining strains ( musculus</w:t>
      </w:r>
      <w:r>
        <w:rPr>
          <w:vertAlign w:val="superscript"/>
        </w:rPr>
        <w:t xml:space="preserve">PWD</w:t>
      </w:r>
      <w:r>
        <w:t xml:space="preserve"> </w:t>
      </w:r>
      <w:r>
        <w:t xml:space="preserve">, musculus</w:t>
      </w:r>
      <w:r>
        <w:rPr>
          <w:vertAlign w:val="superscript"/>
        </w:rPr>
        <w:t xml:space="preserve">SKIVE</w:t>
      </w:r>
      <w:r>
        <w:t xml:space="preserve">, and molossinus</w:t>
      </w:r>
      <w:r>
        <w:rPr>
          <w:vertAlign w:val="superscript"/>
        </w:rPr>
        <w:t xml:space="preserve">MSM</w:t>
      </w:r>
      <w:r>
        <w:t xml:space="preserve">) to the low recombing strains. The main objective of this section is to test for significant correlations between features of the recombination landscape and the evolution of mean MLH1 foci per cell.</w:t>
      </w:r>
      <w:r>
        <w:t xml:space="preserve"> </w:t>
      </w:r>
      <w:r>
        <w:t xml:space="preserve">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t>
      </w:r>
    </w:p>
    <w:p>
      <w:pPr>
        <w:pStyle w:val="BodyText"/>
      </w:pPr>
      <w:r>
        <w:t xml:space="preserve">Previous empirical work suggests basic predictions for the relationship between the genome wide recombination rate and two aspects of the recombination landscape.</w:t>
      </w:r>
      <w:r>
        <w:t xml:space="preserve"> </w:t>
      </w:r>
      <w:r>
        <w:rPr>
          <w:b/>
        </w:rPr>
        <w:t xml:space="preserve">SC length is expected to be positively associated with genome-wide recombination rate because of the loop-axis strucutre</w:t>
      </w:r>
      <w:r>
        <w:t xml:space="preserve"> </w:t>
      </w:r>
      <w:r>
        <w:t xml:space="preserve">(zickler Kleckner 1999, Merier 2015?). Crossover interference strength is expected to be negatively</w:t>
      </w:r>
      <w:r>
        <w:t xml:space="preserve"> </w:t>
      </w:r>
      <w:r>
        <w:rPr>
          <w:b/>
        </w:rPr>
        <w:t xml:space="preserve">associated with genome-wide recombination rate since interference is defined as the non-random spacing between crossovers on the same chromosome</w:t>
      </w:r>
      <w:r>
        <w:t xml:space="preserve">.</w:t>
      </w:r>
    </w:p>
    <w:p>
      <w:pPr>
        <w:pStyle w:val="BodyText"/>
      </w:pPr>
      <w:r>
        <w:t xml:space="preserve">Following this logic we predict (1) musculus</w:t>
      </w:r>
      <w:r>
        <w:rPr>
          <w:vertAlign w:val="superscript"/>
        </w:rPr>
        <w:t xml:space="preserve">PWD</w:t>
      </w:r>
      <w:r>
        <w:t xml:space="preserve"> </w:t>
      </w:r>
      <w:r>
        <w:t xml:space="preserve">will have greater SC length and weaker interference than musculus</w:t>
      </w:r>
      <w:r>
        <w:rPr>
          <w:vertAlign w:val="superscript"/>
        </w:rPr>
        <w:t xml:space="preserve">SKIVE</w:t>
      </w:r>
      <w:r>
        <w:t xml:space="preserve">, which in turn will have longer SC and weaker interference compared to the other</w:t>
      </w:r>
      <w:r>
        <w:t xml:space="preserve"> </w:t>
      </w:r>
      <w:r>
        <w:rPr>
          <w:i/>
        </w:rPr>
        <w:t xml:space="preserve">musculus</w:t>
      </w:r>
      <w:r>
        <w:t xml:space="preserve"> </w:t>
      </w:r>
      <w:r>
        <w:t xml:space="preserve">strains, (2) molossinus</w:t>
      </w:r>
      <w:r>
        <w:rPr>
          <w:vertAlign w:val="superscript"/>
        </w:rPr>
        <w:t xml:space="preserve">MSM</w:t>
      </w:r>
      <w:r>
        <w:t xml:space="preserve"> </w:t>
      </w:r>
      <w:r>
        <w:t xml:space="preserve">will have longer SC and weaker interference compared to molossinus</w:t>
      </w:r>
      <w:r>
        <w:rPr>
          <w:vertAlign w:val="superscript"/>
        </w:rPr>
        <w:t xml:space="preserve">MOLF</w:t>
      </w:r>
      <w:r>
        <w:t xml:space="preserve">, and 3)</w:t>
      </w:r>
      <w:r>
        <w:t xml:space="preserve"> </w:t>
      </w:r>
      <w:r>
        <w:rPr>
          <w:i/>
        </w:rPr>
        <w:t xml:space="preserve">domesticus</w:t>
      </w:r>
      <w:r>
        <w:t xml:space="preserve"> </w:t>
      </w:r>
      <w:r>
        <w:t xml:space="preserve">strains will have similar SC length and crossover interference.</w:t>
      </w:r>
    </w:p>
    <w:p>
      <w:pPr>
        <w:pStyle w:val="Heading1"/>
      </w:pPr>
      <w:bookmarkStart w:id="36" w:name="q2-sc-length"/>
      <w:bookmarkEnd w:id="36"/>
      <w:r>
        <w:t xml:space="preserve">Q2 SC Length</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2_tot.sc_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v2_files/figure-docx/Q2.SC_MLH1.by.totalSC-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Confirming the basic predictions, there is a positive correlation between mean MLH1 foci per cell and total SC ( Spearmans’ r = 0.48;</w:t>
      </w:r>
      <w:r>
        <w:t xml:space="preserve"> </w:t>
      </w:r>
    </w:p>
    <w:p>
      <w:pPr>
        <w:pStyle w:val="BodyText"/>
      </w:pPr>
      <w:r>
        <w:t xml:space="preserve">p = 2.24</w:t>
      </w:r>
      <w:r>
        <w:t xml:space="preserve">10^{-10}). Nevertheless, mean total SC only partially differentiates high-recombination and low-recombination strains (Figure X).</w:t>
      </w:r>
      <w:r>
        <w:t xml:space="preserve"> </w:t>
      </w:r>
      <w:r>
        <w:rPr>
          <w:b/>
        </w:rPr>
        <w:t xml:space="preserve">Bret’s note on positive correlation, ’A correlation across mice, across strains, or both?</w:t>
      </w:r>
      <w:r>
        <w:t xml:space="preserve"> </w:t>
      </w:r>
      <w:r>
        <w:t xml:space="preserve">While high-recombination strains have significantly more SC area in the total dataset (t-test; p = 0.01 – 0.01), separate tests by strain show that only within</w:t>
      </w:r>
      <w:r>
        <w:t xml:space="preserve"> </w:t>
      </w:r>
      <w:r>
        <w:rPr>
          <w:i/>
        </w:rPr>
        <w:t xml:space="preserve">molossinus</w:t>
      </w:r>
      <w:r>
        <w:t xml:space="preserve"> </w:t>
      </w:r>
      <w:r>
        <w:t xml:space="preserve">are high- and low-recombination strains significantly different (t-test; molossinus: p = 0.03 – 0.03; musculus: p = 0.87 – 0.87).</w:t>
      </w:r>
      <w:r>
        <w:t xml:space="preserve"> </w:t>
      </w:r>
      <w:r>
        <w:rPr>
          <w:b/>
        </w:rPr>
        <w:t xml:space="preserve">the values above are diferent between editions</w:t>
      </w:r>
    </w:p>
    <w:p>
      <w:pPr>
        <w:pStyle w:val="BodyText"/>
      </w:pPr>
      <w:r>
        <w:t xml:space="preserve">Additionally, the means for the reduced (short and long) bivalent datasets are not significantly different between high-recombination and low-recombination strains (t-test; short: p = 0.88 – 0.88; long: p = 0.18 – 0.18).</w:t>
      </w:r>
    </w:p>
    <w:p>
      <w:pPr>
        <w:pStyle w:val="BodyText"/>
      </w:pPr>
      <w:r>
        <w:rPr>
          <w:b/>
        </w:rPr>
        <w:t xml:space="preserve">the values between versions are slightly different</w:t>
      </w:r>
      <w:r>
        <w:t xml:space="preserve"> </w:t>
      </w:r>
      <w:r>
        <w:t xml:space="preserve">In a general linear model with total SC as the dependent variable, two subspecies effects are significant (p = musculus 1.2410^{-6} – 1.24</w:t>
      </w:r>
      <w:r>
        <w:t xml:space="preserve">10^{-6}, molossinus p = 10^{-6}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w:t>
      </w:r>
      <w:r>
        <w:t xml:space="preserve"> </w:t>
      </w:r>
      <w:r>
        <w:rPr>
          <w:b/>
        </w:rPr>
        <w:t xml:space="preserve">Bret’s comment; How can you differentiate between this biological conclusion and uncertainty due to the size of the datasets and statistical approaches?</w:t>
      </w:r>
    </w:p>
    <w:p>
      <w:pPr>
        <w:pStyle w:val="Heading1"/>
      </w:pPr>
      <w:bookmarkStart w:id="39" w:name="q2.1co-rec-landscape-evolution-is-decoupled-from-gwrr-evolution"/>
      <w:bookmarkEnd w:id="39"/>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v2_files/figure-docx/Q2.1CO.show_plo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high-recombination and low-recombination strains for the total pooled data (t-test; p = 0.24 – 0.24) and also when examined within subspecies (t-test; p = 0.41 – 0.41 and p = 0.07 – 0.07 for</w:t>
      </w:r>
      <w:r>
        <w:t xml:space="preserve"> </w:t>
      </w:r>
      <w:r>
        <w:rPr>
          <w:i/>
        </w:rPr>
        <w:t xml:space="preserve">musculus</w:t>
      </w:r>
      <w:r>
        <w:t xml:space="preserve"> </w:t>
      </w:r>
      <w:r>
        <w:t xml:space="preserve">and</w:t>
      </w:r>
      <w:r>
        <w:t xml:space="preserve"> </w:t>
      </w:r>
      <w:r>
        <w:rPr>
          <w:i/>
        </w:rPr>
        <w:t xml:space="preserve">molossinus</w:t>
      </w:r>
      <w:r>
        <w:t xml:space="preserve">, respectively).</w:t>
      </w:r>
      <w:r>
        <w:t xml:space="preserve"> </w:t>
      </w:r>
      <w:r>
        <w:rPr>
          <w:b/>
        </w:rPr>
        <w:t xml:space="preserve">While there are significant strain effects for domesticus</w:t>
      </w:r>
      <w:r>
        <w:rPr>
          <w:vertAlign w:val="superscript"/>
          <w:b/>
        </w:rPr>
        <w:t xml:space="preserve">WSB</w:t>
      </w:r>
      <w:r>
        <w:rPr>
          <w:b/>
        </w:rPr>
        <w:t xml:space="preserve"> </w:t>
      </w:r>
      <w:r>
        <w:rPr>
          <w:b/>
        </w:rPr>
        <w:t xml:space="preserve">and molossinus</w:t>
      </w:r>
      <w:r>
        <w:rPr>
          <w:vertAlign w:val="superscript"/>
          <w:b/>
        </w:rPr>
        <w:t xml:space="preserve">MOLF</w:t>
      </w:r>
      <w:r>
        <w:rPr>
          <w:b/>
        </w:rPr>
        <w:t xml:space="preserve"> </w:t>
      </w:r>
      <w:r>
        <w:rPr>
          <w:b/>
        </w:rPr>
        <w:t xml:space="preserve">in a general linear model with normalized position as the dependent variable (Figure X)</w:t>
      </w:r>
      <w:r>
        <w:t xml:space="preserve">,</w:t>
      </w:r>
      <w:r>
        <w:t xml:space="preserve"> </w:t>
      </w:r>
      <w:r>
        <w:rPr>
          <w:i/>
        </w:rPr>
        <w:t xml:space="preserve">this evolution of the 1CO positioning is decoupled from the total genome-wide recombination rate.</w:t>
      </w:r>
      <w:r>
        <w:t xml:space="preserve"> </w:t>
      </w:r>
      <w:r>
        <w:t xml:space="preserve"> </w:t>
      </w:r>
    </w:p>
    <w:p>
      <w:pPr>
        <w:pStyle w:val="Heading1"/>
      </w:pPr>
      <w:bookmarkStart w:id="41" w:name="q2-evolution-of-interference-is-associated-with-genome-wide-recombination-rate-evolution"/>
      <w:bookmarkEnd w:id="41"/>
      <w:r>
        <w:t xml:space="preserve">Q2 Evolution of interference is associated with genome wide recombination rate evolution</w:t>
      </w:r>
    </w:p>
    <w:p>
      <w:pPr>
        <w:pStyle w:val="FirstParagraph"/>
      </w:pPr>
      <w:r>
        <w:t xml:space="preserve">Mouse averages for both IFD</w:t>
      </w:r>
      <w:r>
        <w:rPr>
          <w:vertAlign w:val="superscript"/>
        </w:rPr>
        <w:t xml:space="preserve">raw</w:t>
      </w:r>
      <w:r>
        <w:t xml:space="preserve"> </w:t>
      </w:r>
      <w:r>
        <w:t xml:space="preserve">and IFD</w:t>
      </w:r>
      <w:r>
        <w:rPr>
          <w:vertAlign w:val="superscript"/>
        </w:rPr>
        <w:t xml:space="preserve">norm</w:t>
      </w:r>
      <w:r>
        <w:t xml:space="preserve"> </w:t>
      </w:r>
      <w:r>
        <w:t xml:space="preserve">are significantly longer in high-recombination strains (t-test; IFD</w:t>
      </w:r>
      <w:r>
        <w:rPr>
          <w:vertAlign w:val="superscript"/>
        </w:rPr>
        <w:t xml:space="preserve">norm</w:t>
      </w:r>
      <w:r>
        <w:t xml:space="preserve">: p = 7.7410^{-7} – 7.74</w:t>
      </w:r>
      <w:r>
        <w:t xml:space="preserve">10^{-7}; IFD</w:t>
      </w:r>
      <w:r>
        <w:rPr>
          <w:vertAlign w:val="superscript"/>
        </w:rPr>
        <w:t xml:space="preserve">raw</w:t>
      </w:r>
      <w:r>
        <w:t xml:space="preserve">: p = 8.7810^{-6} – 8.78</w:t>
      </w:r>
      <w:r>
        <w:t xml:space="preserve">10^{-6}). This pattern is confirmed by separate comparisons within</w:t>
      </w:r>
      <w:r>
        <w:t xml:space="preserve"> </w:t>
      </w:r>
      <w:r>
        <w:rPr>
          <w:i/>
        </w:rPr>
        <w:t xml:space="preserve">musculus</w:t>
      </w:r>
      <w:r>
        <w:t xml:space="preserve"> </w:t>
      </w:r>
      <w:r>
        <w:t xml:space="preserve">(t-test; IFD</w:t>
      </w:r>
      <w:r>
        <w:rPr>
          <w:vertAlign w:val="superscript"/>
        </w:rPr>
        <w:t xml:space="preserve">norm</w:t>
      </w:r>
      <w:r>
        <w:t xml:space="preserve">: p =2.0410^{-5} – 2.04</w:t>
      </w:r>
      <w:r>
        <w:t xml:space="preserve">10^{-5}; IFD</w:t>
      </w:r>
      <w:r>
        <w:rPr>
          <w:vertAlign w:val="superscript"/>
        </w:rPr>
        <w:t xml:space="preserve">raw</w:t>
      </w:r>
      <w:r>
        <w:t xml:space="preserve">: p = 1.9410^{-4} – 1.94</w:t>
      </w:r>
      <w:r>
        <w:t xml:space="preserve">10^{-4}) and within</w:t>
      </w:r>
      <w:r>
        <w:t xml:space="preserve"> </w:t>
      </w:r>
      <w:r>
        <w:rPr>
          <w:i/>
        </w:rPr>
        <w:t xml:space="preserve">molossinus</w:t>
      </w:r>
      <w:r>
        <w:t xml:space="preserve"> </w:t>
      </w:r>
      <w:r>
        <w:t xml:space="preserve">(IFD</w:t>
      </w:r>
      <w:r>
        <w:rPr>
          <w:vertAlign w:val="superscript"/>
        </w:rPr>
        <w:t xml:space="preserve">norm</w:t>
      </w:r>
      <w:r>
        <w:t xml:space="preserve">: p= 0.17 – 0.17; IFD</w:t>
      </w:r>
      <w:r>
        <w:rPr>
          <w:vertAlign w:val="superscript"/>
        </w:rPr>
        <w:t xml:space="preserve">raw</w:t>
      </w:r>
      <w:r>
        <w:t xml:space="preserve">: p = 0.08 – 0.08).</w:t>
      </w:r>
      <w:r>
        <w:t xml:space="preserve"> </w:t>
      </w:r>
      <w:r>
        <w:t xml:space="preserve"> </w:t>
      </w:r>
      <w:r>
        <w:t xml:space="preserve">Similar results are seen with general linear models for both IFD</w:t>
      </w:r>
      <w:r>
        <w:rPr>
          <w:vertAlign w:val="superscript"/>
        </w:rPr>
        <w:t xml:space="preserve">raw</w:t>
      </w:r>
      <w:r>
        <w:t xml:space="preserve"> </w:t>
      </w:r>
      <w:r>
        <w:t xml:space="preserve">and IFD</w:t>
      </w:r>
      <w:r>
        <w:rPr>
          <w:vertAlign w:val="superscript"/>
        </w:rPr>
        <w:t xml:space="preserve">norm</w:t>
      </w:r>
      <w:r>
        <w:t xml:space="preserve">: only effects associated with high-recombination strains are significant (p &lt; 0.05).</w:t>
      </w:r>
    </w:p>
    <w:p>
      <w:pPr>
        <w:pStyle w:val="BodyText"/>
      </w:pPr>
      <w:r>
        <w:t xml:space="preserve">That IFD</w:t>
      </w:r>
      <w:r>
        <w:rPr>
          <w:vertAlign w:val="superscript"/>
        </w:rPr>
        <w:t xml:space="preserve">raw</w:t>
      </w:r>
      <w:r>
        <w:t xml:space="preserve"> </w:t>
      </w:r>
      <w:r>
        <w:t xml:space="preserve">and IFD</w:t>
      </w:r>
      <w:r>
        <w:rPr>
          <w:vertAlign w:val="superscript"/>
        </w:rPr>
        <w:t xml:space="preserve">norm</w:t>
      </w:r>
      <w:r>
        <w:t xml:space="preserve"> </w:t>
      </w:r>
      <w:r>
        <w:t xml:space="preserve">show similar patterns eliminates variation in SC lengths and bivalent sizes as primary explanations. We determined that the main difference in IFD</w:t>
      </w:r>
      <w:r>
        <w:rPr>
          <w:vertAlign w:val="superscript"/>
        </w:rPr>
        <w:t xml:space="preserve">norm</w:t>
      </w:r>
      <w:r>
        <w:t xml:space="preserve"> </w:t>
      </w:r>
      <w:r>
        <w:t xml:space="preserve">distributions between high-recombination and low-recombination strains is an enrichment of IFD</w:t>
      </w:r>
      <w:r>
        <w:rPr>
          <w:vertAlign w:val="superscript"/>
        </w:rPr>
        <w:t xml:space="preserve">norm</w:t>
      </w:r>
      <w:r>
        <w:t xml:space="preserve"> </w:t>
      </w:r>
      <w:r>
        <w:t xml:space="preserve">values under 30% –</w:t>
      </w:r>
    </w:p>
    <w:p>
      <w:pPr>
        <w:pStyle w:val="BodyText"/>
      </w:pPr>
      <w:r>
        <w:t xml:space="preserve">in low-recombination strains. The frequency of IFD</w:t>
      </w:r>
      <w:r>
        <w:rPr>
          <w:vertAlign w:val="superscript"/>
        </w:rPr>
        <w:t xml:space="preserve">norm</w:t>
      </w:r>
      <w:r>
        <w:t xml:space="preserve"> </w:t>
      </w:r>
      <w:r>
        <w:t xml:space="preserve">values that fall below 30% ranges from 8.2% (domesticus</w:t>
      </w:r>
      <w:r>
        <w:rPr>
          <w:vertAlign w:val="superscript"/>
        </w:rPr>
        <w:t xml:space="preserve">G</w:t>
      </w:r>
      <w:r>
        <w:t xml:space="preserve">) to 16% (musculus</w:t>
      </w:r>
      <w:r>
        <w:rPr>
          <w:vertAlign w:val="superscript"/>
        </w:rPr>
        <w:t xml:space="preserve">KAZ</w:t>
      </w:r>
      <w:r>
        <w:t xml:space="preserve">) in low-recombination strains, whereas high-recombination strains all show such frequencies below 5% (0%, 1.3%, and 3.3% for musculus</w:t>
      </w:r>
      <w:r>
        <w:rPr>
          <w:vertAlign w:val="superscript"/>
        </w:rPr>
        <w:t xml:space="preserve">SKIVE</w:t>
      </w:r>
      <w:r>
        <w:t xml:space="preserve">, molossinus</w:t>
      </w:r>
      <w:r>
        <w:rPr>
          <w:vertAlign w:val="superscript"/>
        </w:rPr>
        <w:t xml:space="preserve">MSM</w:t>
      </w:r>
      <w:r>
        <w:t xml:space="preserve">, and musculus</w:t>
      </w:r>
      <w:r>
        <w:rPr>
          <w:vertAlign w:val="superscript"/>
        </w:rPr>
        <w:t xml:space="preserve">PWD</w:t>
      </w:r>
      <w:r>
        <w:t xml:space="preserve">, respectively).</w:t>
      </w:r>
    </w:p>
    <w:p>
      <w:pPr>
        <w:pStyle w:val="BodyText"/>
      </w:pPr>
      <w:r>
        <w:t xml:space="preserve">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 At least on 2CO bivalents, crossovers are spaced further apart when the genome-wide recombination rate is higher.</w:t>
      </w:r>
    </w:p>
    <w:p>
      <w:pPr>
        <w:pStyle w:val="Heading1"/>
      </w:pPr>
      <w:bookmarkStart w:id="42" w:name="q2-summary"/>
      <w:bookmarkEnd w:id="42"/>
      <w:r>
        <w:t xml:space="preserve">Q2 Summary</w:t>
      </w:r>
    </w:p>
    <w:p>
      <w:pPr>
        <w:pStyle w:val="FirstParagraph"/>
      </w:pPr>
      <w:r>
        <w:rPr>
          <w:b/>
        </w:rPr>
        <w:t xml:space="preserve">move main themes to conclusion</w:t>
      </w:r>
    </w:p>
    <w:p>
      <w:pPr>
        <w:pStyle w:val="BodyText"/>
      </w:pPr>
      <w:r>
        <w:t xml:space="preserve">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w:t>
      </w:r>
      <w:r>
        <w:t xml:space="preserve"> </w:t>
      </w:r>
      <w:r>
        <w:t xml:space="preserve">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p>
    <w:p>
      <w:pPr>
        <w:pStyle w:val="BodyText"/>
      </w:pPr>
      <w:r>
        <w:t xml:space="preserve">&lt;Bret: Are you sure this summary is necessary? Maybe cover this material in the Discussion instead?&gt;</w:t>
      </w:r>
    </w:p>
    <w:p>
      <w:pPr>
        <w:pStyle w:val="Heading1"/>
      </w:pPr>
      <w:bookmarkStart w:id="43" w:name="references"/>
      <w:bookmarkEnd w:id="43"/>
      <w:r>
        <w:t xml:space="preserve">References</w:t>
      </w:r>
    </w:p>
    <w:p>
      <w:pPr>
        <w:pStyle w:val="Bibliography"/>
      </w:pPr>
      <w:r>
        <w:t xml:space="preserve">Cole, Francesca, Liisa Kauppi, Julian Lange, Ignasi Roig, Raymond Wang, Scott Keeney, and Maria Jasin. 2012. “Homeostatic Control of Recombination Is Implemented Progressively in Mouse Meiosis.”</w:t>
      </w:r>
      <w:r>
        <w:t xml:space="preserve"> </w:t>
      </w:r>
      <w:r>
        <w:rPr>
          <w:i/>
        </w:rPr>
        <w:t xml:space="preserve">Nature Cell Biology</w:t>
      </w:r>
      <w:r>
        <w:t xml:space="preserve"> </w:t>
      </w:r>
      <w:r>
        <w:t xml:space="preserve">14 (4). Nature Publishing Group: 424–30.</w:t>
      </w:r>
    </w:p>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Nature Publishing Group: 442–57.</w:t>
      </w:r>
    </w:p>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 doi:</w:t>
      </w:r>
      <w:hyperlink r:id="rId44">
        <w:r>
          <w:rPr>
            <w:rStyle w:val="Hyperlink"/>
          </w:rPr>
          <w:t xml:space="preserve">10.1086/704943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d688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hyperlink" Id="rId44"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2020-04-24T20:30:19Z</dcterms:created>
  <dcterms:modified xsi:type="dcterms:W3CDTF">2020-04-24T20:30:19Z</dcterms:modified>
</cp:coreProperties>
</file>