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Buoy Up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Banks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Borrower làm gì</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1</w:t>
            </w:r>
          </w:p>
          <w:p>
            <w:pPr>
              <w:widowControl w:val="0"/>
              <w:spacing w:line="240" w:lineRule="auto"/>
              <w:rPr>
                <w:rFonts w:ascii="Lato" w:cs="Lato" w:eastAsia="Lato" w:hAnsi="Lato"/>
              </w:rPr>
            </w:pPr>
            <w:r>
              <w:rPr>
                <w:rFonts w:ascii="Lato" w:cs="Lato" w:eastAsia="Lato" w:hAnsi="Lato"/>
                <w:rtl w:val="0"/>
              </w:rPr>
              <w:t xml:space="preserve">Xác thực danh tính và nộp hồ sơ</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Chờ</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Chờ</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Xác thực danh tính: chụp căn cước công dân, quét khuôn mặt có kiểm tra người thật.</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Chọn loại người vay:</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Doanh nghiệp: vay vốn lưu động, người đại diện pháp luật bảo lãnh cá nhân.</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Hộ kinh doanh: vay kinh doanh cá nhân, tổng khoản vay tối đa 200.000 nhân dân tệ vì làm hoàn toàn trực tuyến.</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Nộp hồ sơ: thông tin cá nhân và doanh nghiệp hoặc hộ kinh doanh, mã số thuế, giấy phép kinh doanh, đường dẫn các cửa hàng, kế hoạch vay dự kiến.</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Đồng ý trên một màn hình với ba ô riêng, không ô nào tích sẵn, mỗi ô có đường dẫn đến văn bản:</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Ủy quyền tra cứu tín dụng cho WeBank và các ngân hàng hợp tác.</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Đồng ý chuyển hồ sơ vay cho các ngân hàng hợp tác có tên và cách liên hệ trong danh sách đính kèm.</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Đồng ý xử lý thông tin khuôn mặt và dữ liệu tài chính để xác thực và thẩm định.</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Quét khuôn mặt để ký điện tử cho cả ba văn bản; có lựa chọn xác thực khác cho người không muốn dùng khuôn mặt.</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Không bắt buộc: ảnh doanh thu và chi phí 1 đến 6 tháng gần nhất từ trang quản lý cửa hàng, để được xét hạn mức cao hơn.</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2</w:t>
            </w:r>
          </w:p>
          <w:p>
            <w:pPr>
              <w:widowControl w:val="0"/>
              <w:spacing w:line="240" w:lineRule="auto"/>
              <w:rPr>
                <w:rFonts w:ascii="Lato" w:cs="Lato" w:eastAsia="Lato" w:hAnsi="Lato"/>
              </w:rPr>
            </w:pPr>
            <w:r>
              <w:rPr>
                <w:rFonts w:ascii="Lato" w:cs="Lato" w:eastAsia="Lato" w:hAnsi="Lato"/>
                <w:rtl w:val="0"/>
              </w:rPr>
              <w:t xml:space="preserve">Thẩm định và các ngân hàng duyệt song song</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Multi Agent (Agent 1)</w:t>
            </w:r>
            <w:r>
              <w:rPr>
                <w:rFonts w:ascii="Lato" w:cs="Lato" w:eastAsia="Lato" w:hAnsi="Lato"/>
                <w:rtl w:val="0"/>
              </w:rPr>
              <w:t xml:space="preserve"> xác thực hồ sơ, cửa hàng và ảnh doanh thu; phát hiện gian lận, nghi ngờ thì chuyển người xem lại.</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Dữ liệu tính điểm tín dụng</w:t>
            </w:r>
            <w:r>
              <w:rPr>
                <w:rFonts w:ascii="Lato" w:cs="Lato" w:eastAsia="Lato" w:hAnsi="Lato"/>
                <w:rtl w:val="0"/>
              </w:rPr>
              <w:t xml:space="preserve"> chỉ lấy qua kênh hợp pháp: báo cáo tín dụng của tổ chức được cấp phép, điểm từ mô hình các ngân hàng cùng huấn luyện qua FATE, dữ liệu thuế có ủy quyền. Không lấy dữ liệu trực tiếp từ ngân hàng khác hay từ sàn.</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Lõi quyết định</w:t>
            </w:r>
            <w:r>
              <w:rPr>
                <w:rFonts w:ascii="Lato" w:cs="Lato" w:eastAsia="Lato" w:hAnsi="Lato"/>
                <w:rtl w:val="0"/>
              </w:rPr>
              <w:t xml:space="preserve"> (mô hình học máy và quy tắc chính sách, không phải tác tử ngôn ngữ) tính hạn mức tối đa, lãi suất, kỳ hạn tối đa 36 tháng.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Quy tắc cứng</w:t>
            </w:r>
            <w:r>
              <w:rPr>
                <w:rFonts w:ascii="Lato" w:cs="Lato" w:eastAsia="Lato" w:hAnsi="Lato"/>
                <w:rtl w:val="0"/>
              </w:rPr>
              <w:t xml:space="preserve"> kiểm tra: bên hợp tác góp tối thiểu 30% mỗi khoản; hạn mức tập trung còn lại của đối tác (25% vốn cấp một với một đối tác, 50% tổng dư nợ); ngân hàng địa phương không cho vay ngoài địa bàn; đối tác trong danh sách trắng; tổng chi phí vay không quá 24% một năm; không thu phí người vay. Agent 3 rà soát gói hồ sơ.</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Tác tử điều phối</w:t>
            </w:r>
            <w:r>
              <w:rPr>
                <w:rFonts w:ascii="Lato" w:cs="Lato" w:eastAsia="Lato" w:hAnsi="Lato"/>
                <w:rtl w:val="0"/>
              </w:rPr>
              <w:t xml:space="preserve"> chọn đối tác có khẩu vị phù hợp, đúng địa bàn, còn ngân sách tháng và hạn mức tập trung, rồi gửi hồ sơ song song.</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WeBank và các ngân hàng đối tác nhận hồ sơ cùng lúc. Mỗi ngân hàng tự tra cứu tín dụng và tự duyệt bằng hệ thống riêng.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30 giây:</w:t>
            </w:r>
            <w:r>
              <w:rPr>
                <w:rFonts w:ascii="Lato" w:cs="Lato" w:eastAsia="Lato" w:hAnsi="Lato"/>
                <w:rtl w:val="0"/>
              </w:rPr>
              <w:t xml:space="preserve"> đối tác phải trả lời trong 30 giây, quá hạn coi như từ chối. Ai đồng ý trước vào trước; đủ hai đối tác thì chốt tỷ lệ 40/30/30, WeBank làm đầu mối. Đã đồng ý thì không hủy ngang.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Dự phòng:</w:t>
            </w:r>
            <w:r>
              <w:rPr>
                <w:rFonts w:ascii="Lato" w:cs="Lato" w:eastAsia="Lato" w:hAnsi="Lato"/>
                <w:rtl w:val="0"/>
              </w:rPr>
              <w:t xml:space="preserve"> chỉ một đối tác đồng ý thì chuyển sang WeBank 30%, đối tác 70%. Không đối tác nào đồng ý thì giảm hạn mức hoặc từ chối (phương án WeBank cho vay một mình cần chốt thêm).</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Hạn mức được duyệt có hiệu lực 7 ngày. Hạn mức tập trung của đối tác chỉ bị trừ khi người vay ký hợp đồng.</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Chờ (dưới 1 phút), rồi nhận hạn mức đã được các ngân hàng cùng cho vay xác nhận.</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3</w:t>
            </w:r>
          </w:p>
          <w:p>
            <w:pPr>
              <w:widowControl w:val="0"/>
              <w:spacing w:line="240" w:lineRule="auto"/>
              <w:rPr>
                <w:rFonts w:ascii="Lato" w:cs="Lato" w:eastAsia="Lato" w:hAnsi="Lato"/>
              </w:rPr>
            </w:pPr>
            <w:r>
              <w:rPr>
                <w:rFonts w:ascii="Lato" w:cs="Lato" w:eastAsia="Lato" w:hAnsi="Lato"/>
                <w:rtl w:val="0"/>
              </w:rPr>
              <w:t xml:space="preserve">Chọn khoản vay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Agent 2</w:t>
            </w:r>
            <w:r>
              <w:rPr>
                <w:rFonts w:ascii="Lato" w:cs="Lato" w:eastAsia="Lato" w:hAnsi="Lato"/>
                <w:rtl w:val="0"/>
              </w:rPr>
              <w:t xml:space="preserve"> tư vấn số tiền, kỳ hạn và hình thức trả vừa sức dựa trên doanh thu và lịch mùa cao điểm; nghiêng về vay vừa đủ; giải thích rõ hai hình thức trả nợ vì chọn rồi không đổi được.</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Hiển thị lịch trả nợ dự kiến cho từng lựa chọn.</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Chờ. Số tiền người vay chọn không vượt hạn mức đã duyệt nên không cần duyệt lại.</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Chọn số tiền muốn vay trong hạn mức được cấp. Mỗi người chỉ có một khoản vay tại một thời điểm, trả hết rồi mới được vay tiếp.</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Chọn kỳ hạn trả nợ (3, 6, 12, 24, 36 tháng) và ngày trả nợ hằng tháng.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Chọn hình thức trả nợ, chỉ chọn một lần cho cả khoản vay và không được thay đổi:</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Trả theo doanh thu: mỗi tháng trả số lớn hơn giữa mức tối thiểu và một tỷ lệ doanh thu tháng trước vào tài khoản WeBank, không vượt số còn nợ.</w:t>
            </w:r>
          </w:p>
          <w:p>
            <w:pPr>
              <w:widowControl w:val="0"/>
              <w:numPr>
                <w:ilvl w:val="0"/>
                <w:numId w:val="1"/>
              </w:numPr>
              <w:spacing w:line="240" w:lineRule="auto"/>
              <w:ind w:left="720" w:hanging="360"/>
              <w:rPr>
                <w:rFonts w:ascii="Lato" w:cs="Lato" w:eastAsia="Lato" w:hAnsi="Lato"/>
              </w:rPr>
            </w:pPr>
            <w:r>
              <w:rPr>
                <w:rFonts w:ascii="Lato" w:cs="Lato" w:eastAsia="Lato" w:hAnsi="Lato"/>
                <w:rtl w:val="0"/>
              </w:rPr>
              <w:t xml:space="preserve">Trả góp cố định theo tháng: gốc chia đều cộng lãi, không phụ thuộc doanh thu.</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4</w:t>
            </w:r>
          </w:p>
          <w:p>
            <w:pPr>
              <w:widowControl w:val="0"/>
              <w:spacing w:line="240" w:lineRule="auto"/>
              <w:rPr>
                <w:rFonts w:ascii="Lato" w:cs="Lato" w:eastAsia="Lato" w:hAnsi="Lato"/>
              </w:rPr>
            </w:pPr>
            <w:r>
              <w:rPr>
                <w:rFonts w:ascii="Lato" w:cs="Lato" w:eastAsia="Lato" w:hAnsi="Lato"/>
                <w:rtl w:val="0"/>
              </w:rPr>
              <w:t xml:space="preserve">Ký hợp đồng</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Hiển thị bảng công khai chi phí với thời gian đọc bắt buộc: gốc, lãi, chi phí quy năm, lãi phạt, quy định trả tối thiểu, tên từng ngân hàng và phần góp, kênh khiếu nại.</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Không thu bất kỳ phí nào ngoài tiền lãi, kể cả khi tất toán trước hạn.</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Mỗi ngân hàng ký một hợp đồng vay riêng với người vay, cùng lãi suất và lịch trả.</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Kiểm tra nhẹ trước giải ngân: hạn mức của đối tác còn đủ, không có biến cố mới với người vay.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Đọc bảng chi phí và hợp đồng.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Đồng ý đặt tài khoản kinh doanh WeBank làm tài khoản nhận tiền hàng từ các sàn và ủy quyền trích nợ.</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Cam kết mục đích sử dụng vốn; khai thông tin nhà cung cấp nếu khoản vay vượt ngưỡng trả thẳng.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Ký bảo lãnh cá nhân (với doanh nghiệp), ký điện tử, xác thực khuôn mặt.</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5</w:t>
            </w:r>
          </w:p>
          <w:p>
            <w:pPr>
              <w:widowControl w:val="0"/>
              <w:spacing w:line="240" w:lineRule="auto"/>
              <w:rPr>
                <w:rFonts w:ascii="Lato" w:cs="Lato" w:eastAsia="Lato" w:hAnsi="Lato"/>
              </w:rPr>
            </w:pPr>
            <w:r>
              <w:rPr>
                <w:rFonts w:ascii="Lato" w:cs="Lato" w:eastAsia="Lato" w:hAnsi="Lato"/>
                <w:rtl w:val="0"/>
              </w:rPr>
              <w:t xml:space="preserve">Giải ngân</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Ghi mã băm của hợp đồng, quyết định duyệt và giao dịch giải ngân lên FISCO BCOS; không lưu dữ liệu cá nhân gốc.</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Gửi thông báo và lịch trả nợ cho người vay.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Các ngân hàng chuyển phần góp vào tài khoản trung gian tại WeBank; hệ thống WeBank giải ngân khi đã đủ tiền của tất cả các bên.</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Phần vượt ngưỡng trả thẳng cho nhà cung cấp.</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Mỗi ngân hàng ghi sổ phần của mình ngay trong ngày.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Nhận khoản vay vào tài khoản kinh doanh WeBank được cấp riêng. Tiền vay chỉ dùng cho kinh doanh, không dùng cho tiêu dùng cá nhân; tiền hàng từ các sàn vẫn được tự do sử dụng.</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6</w:t>
            </w:r>
          </w:p>
          <w:p>
            <w:pPr>
              <w:widowControl w:val="0"/>
              <w:spacing w:line="240" w:lineRule="auto"/>
              <w:rPr>
                <w:rFonts w:ascii="Lato" w:cs="Lato" w:eastAsia="Lato" w:hAnsi="Lato"/>
              </w:rPr>
            </w:pPr>
            <w:r>
              <w:rPr>
                <w:rFonts w:ascii="Lato" w:cs="Lato" w:eastAsia="Lato" w:hAnsi="Lato"/>
                <w:rtl w:val="0"/>
              </w:rPr>
              <w:t xml:space="preserve">Trong thời gian vay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Agent 4</w:t>
            </w:r>
            <w:r>
              <w:rPr>
                <w:rFonts w:ascii="Lato" w:cs="Lato" w:eastAsia="Lato" w:hAnsi="Lato"/>
                <w:rtl w:val="0"/>
              </w:rPr>
              <w:t xml:space="preserve"> giám sát tiền vay có thành hàng không; gắn cờ khi có chuyển khoản vào chứng khoán, bất động sản hoặc chuyển lớn bất thường ra tài khoản cá nhân.</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Cảnh báo sớm khi doanh thu giảm mạnh, hoàn hàng tăng, cửa hàng bị khóa.</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Nhắc trả nợ trước 7 ngày và 1 ngày; cảnh báo khi số dư thấp hơn kỳ trả sắp tới; gợi ý trả trước khi tiền hàng về nhiều.</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Tác tử không có quyền chuyển tiền hay thu nợ.</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Nhận thông tin trạng thái khoản vay chậm nhất cuối ngày làm việc kế tiếp.</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Kinh doanh bình thường; tiền hàng từ các sàn về tài khoản WeBank.</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7</w:t>
            </w:r>
          </w:p>
          <w:p>
            <w:pPr>
              <w:widowControl w:val="0"/>
              <w:spacing w:line="240" w:lineRule="auto"/>
              <w:rPr>
                <w:rFonts w:ascii="Lato" w:cs="Lato" w:eastAsia="Lato" w:hAnsi="Lato"/>
              </w:rPr>
            </w:pPr>
            <w:r>
              <w:rPr>
                <w:rFonts w:ascii="Lato" w:cs="Lato" w:eastAsia="Lato" w:hAnsi="Lato"/>
                <w:rtl w:val="0"/>
              </w:rPr>
              <w:t xml:space="preserve">Trả nợ hằng tháng</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Tính số phải trả mỗi kỳ theo hình thức người vay đã chọn.</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Hệ thống WeBank trích tài khoản vào ngày trả. Tiền thu áp dụng theo thứ tự lãi phạt, lãi, gốc, rồi chia ngay cho các ngân hàng theo tỷ lệ dư nợ trong ngày.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Bảo đảm đủ tiền trong tài khoản vào ngày trả.</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Được trả trước một phần hoặc toàn bộ bất cứ lúc nào, không mất phí, lãi tính theo số ngày thực tế.</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8</w:t>
            </w:r>
          </w:p>
          <w:p>
            <w:pPr>
              <w:widowControl w:val="0"/>
              <w:spacing w:line="240" w:lineRule="auto"/>
              <w:rPr>
                <w:rFonts w:ascii="Lato" w:cs="Lato" w:eastAsia="Lato" w:hAnsi="Lato"/>
              </w:rPr>
            </w:pPr>
            <w:r>
              <w:rPr>
                <w:rFonts w:ascii="Lato" w:cs="Lato" w:eastAsia="Lato" w:hAnsi="Lato"/>
                <w:rtl w:val="0"/>
              </w:rPr>
              <w:t xml:space="preserve">Trả thiếu hoặc quá hạn</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Agent 4</w:t>
            </w:r>
            <w:r>
              <w:rPr>
                <w:rFonts w:ascii="Lato" w:cs="Lato" w:eastAsia="Lato" w:hAnsi="Lato"/>
                <w:rtl w:val="0"/>
              </w:rPr>
              <w:t xml:space="preserve"> liên hệ tìm nguyên nhân và đề xuất cách trả bù; không gây áp lực, không đe dọa.</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Trả tối thiểu:</w:t>
            </w:r>
            <w:r>
              <w:rPr>
                <w:rFonts w:ascii="Lato" w:cs="Lato" w:eastAsia="Lato" w:hAnsi="Lato"/>
                <w:rtl w:val="0"/>
              </w:rPr>
              <w:t xml:space="preserve"> với hình thức trả góp cố định và kỳ hạn từ 3 tháng, người vay được trả toàn bộ lãi cộng 30% gốc của kỳ, tối đa hai kỳ liên tiếp; gốc còn lại dồn sang kỳ sau, ngày đáo hạn không đổi.</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Không đủ mức tối thiểu: 3 ngày ân hạn, sau đó tính lãi phạt.</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Quá hạn 30 ngày:</w:t>
            </w:r>
            <w:r>
              <w:rPr>
                <w:rFonts w:ascii="Lato" w:cs="Lato" w:eastAsia="Lato" w:hAnsi="Lato"/>
                <w:rtl w:val="0"/>
              </w:rPr>
              <w:t xml:space="preserve"> báo trung tâm tín dụng, quá hạn với tất cả các ngân hàng, chuyển bộ phận xử lý nợ. Quyết định xử lý do các bên nắm từ hai phần ba dư nợ thông qua; tiền thu hồi và tổn thất chia theo tỷ lệ góp vốn.</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Chọn trả tối thiểu hoặc trả bù.</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9</w:t>
            </w:r>
          </w:p>
          <w:p>
            <w:pPr>
              <w:widowControl w:val="0"/>
              <w:spacing w:line="240" w:lineRule="auto"/>
              <w:rPr>
                <w:rFonts w:ascii="Lato" w:cs="Lato" w:eastAsia="Lato" w:hAnsi="Lato"/>
              </w:rPr>
            </w:pPr>
            <w:r>
              <w:rPr>
                <w:rFonts w:ascii="Lato" w:cs="Lato" w:eastAsia="Lato" w:hAnsi="Lato"/>
                <w:rtl w:val="0"/>
              </w:rPr>
              <w:t xml:space="preserve">Tất toán và hậu kiểm</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Agent 5</w:t>
            </w:r>
            <w:r>
              <w:rPr>
                <w:rFonts w:ascii="Lato" w:cs="Lato" w:eastAsia="Lato" w:hAnsi="Lato"/>
                <w:rtl w:val="0"/>
              </w:rPr>
              <w:t xml:space="preserve"> so dự đoán lúc duyệt với kết quả trả nợ thật, tìm chỗ đánh giá sai, đề xuất cải tiến; người phụ trách duyệt trước khi áp dụng.</w:t>
            </w:r>
          </w:p>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rtl w:val="0"/>
              </w:rPr>
              <w:t xml:space="preserve">Huấn luyện lại mô hình FATE định kỳ.</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Mỗi ngân hàng báo cáo lịch sử trả nợ lên trung tâm tín dụng.</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Nhận xác nhận tất toán; được tự do đổi tài khoản nhận tiền hàng.</w:t>
            </w:r>
          </w:p>
        </w:tc>
      </w:tr>
      <w:tr>
        <w:trPr>
          <w:cantSplit w:val="0"/>
          <w:tblHeader w:val="0"/>
        </w:trPr>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b w:val="1"/>
                <w:bCs w:val="1"/>
                <w:rtl w:val="0"/>
              </w:rPr>
              <w:t xml:space="preserve">Stage 10</w:t>
            </w:r>
          </w:p>
          <w:p>
            <w:pPr>
              <w:widowControl w:val="0"/>
              <w:spacing w:line="240" w:lineRule="auto"/>
              <w:rPr>
                <w:rFonts w:ascii="Lato" w:cs="Lato" w:eastAsia="Lato" w:hAnsi="Lato"/>
              </w:rPr>
            </w:pPr>
            <w:r>
              <w:rPr>
                <w:rFonts w:ascii="Lato" w:cs="Lato" w:eastAsia="Lato" w:hAnsi="Lato"/>
                <w:rtl w:val="0"/>
              </w:rPr>
              <w:t xml:space="preserve">Vay lại</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Tính sẵn mức vay dự kiến; thẩm định lại từ đầu với dữ liệu mới (lịch sử trả nợ, số lần trả tối thiểu, doanh thu sau khi vay); ghép ngân hàng lại từ đầu, có thể khác lần trước.</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Tự duyệt lại như Stage 2, trả lời trong 30 giây.</w:t>
            </w:r>
          </w:p>
        </w:tc>
        <w:tc>
          <w:tcPr>
            <w:shd w:fill="auto" w:val="clear"/>
            <w:tcMar>
              <w:top w:w="100.0" w:type="dxa"/>
              <w:left w:w="100.0" w:type="dxa"/>
              <w:bottom w:w="100.0" w:type="dxa"/>
              <w:right w:w="100.0" w:type="dxa"/>
            </w:tcMar>
            <w:vAlign w:val="top"/>
          </w:tcPr>
          <w:p>
            <w:pPr>
              <w:widowControl w:val="0"/>
              <w:spacing w:line="240" w:lineRule="auto"/>
              <w:rPr>
                <w:rFonts w:ascii="Lato" w:cs="Lato" w:eastAsia="Lato" w:hAnsi="Lato"/>
              </w:rPr>
            </w:pPr>
            <w:r>
              <w:rPr>
                <w:rFonts w:ascii="Lato" w:cs="Lato" w:eastAsia="Lato" w:hAnsi="Lato"/>
                <w:rtl w:val="0"/>
              </w:rPr>
              <w:t xml:space="preserve">Xác nhận thông tin đã lưu, xác thực khuôn mặt, đồng ý tra cứu tín dụng mới, rồi quay về Stage 3. Được chọn lại hình thức trả nợ cho khoản vay mới.</w:t>
            </w:r>
          </w:p>
        </w:tc>
      </w:tr>
    </w:tbl>
    <w:p>
      <w:pPr>
        <w:widowControl w:val="0"/>
        <w:spacing w:line="240" w:lineRule="auto"/>
        <w:rPr>
          <w:rFonts w:ascii="Lato" w:cs="Lato" w:eastAsia="Lato" w:hAnsi="Lato"/>
        </w:rPr>
      </w:pPr>
    </w:p>
    <w:p>
      <w:pPr>
        <w:widowControl w:val="0"/>
        <w:spacing w:line="240" w:lineRule="auto"/>
        <w:rPr>
          <w:rFonts w:ascii="Lato" w:cs="Lato" w:eastAsia="Lato" w:hAnsi="Lato"/>
        </w:rPr>
      </w:pPr>
      <w:r>
        <w:rPr>
          <w:rFonts w:ascii="Lato" w:cs="Lato" w:eastAsia="Lato" w:hAnsi="Lato"/>
          <w:b w:val="1"/>
          <w:bCs w:val="1"/>
          <w:rtl w:val="0"/>
        </w:rPr>
        <w:t xml:space="preserve">Ghi chú</w:t>
      </w:r>
    </w:p>
    <w:p>
      <w:pPr>
        <w:widowControl w:val="0"/>
        <w:spacing w:line="240" w:lineRule="auto"/>
        <w:rPr>
          <w:rFonts w:ascii="Lato" w:cs="Lato" w:eastAsia="Lato" w:hAnsi="Lato"/>
        </w:rPr>
      </w:pPr>
      <w:r>
        <w:rPr>
          <w:rFonts w:ascii="Lato" w:cs="Lato" w:eastAsia="Lato" w:hAnsi="Lato"/>
          <w:rtl w:val="0"/>
        </w:rPr>
        <w:t xml:space="preserve">Các điểm đã chốt: cho vay cả doanh nghiệp và hộ kinh doanh (hộ kinh doanh tối đa 200.000 nhân dân tệ); các ngân hàng duyệt song song ở Stage 2; đối tác trả lời trong 30 giây; hai hình thức trả nợ, chọn một lần và không đổi; không thu phí tất toán trước hạn.</w:t>
      </w:r>
    </w:p>
    <w:p>
      <w:pPr>
        <w:widowControl w:val="0"/>
        <w:spacing w:line="240" w:lineRule="auto"/>
        <w:rPr>
          <w:rFonts w:ascii="Lato" w:cs="Lato" w:eastAsia="Lato" w:hAnsi="Lato"/>
        </w:rPr>
      </w:pPr>
      <w:r>
        <w:rPr>
          <w:rFonts w:ascii="Lato" w:cs="Lato" w:eastAsia="Lato" w:hAnsi="Lato"/>
          <w:rtl w:val="0"/>
        </w:rPr>
        <w:t xml:space="preserve">Các điểm cần chốt thêm: WeBank có cho vay một mình khi không đối tác nào đồng ý không; ngưỡng tiền phải trả thẳng cho nhà cung cấp; tỷ lệ doanh thu dùng cho hình thức trả theo doanh thu; khung kỳ hạn cụ thể.</w:t>
      </w:r>
    </w:p>
    <w:p w:rsidR="00000000" w:rsidDel="00000000" w:rsidP="00000000" w:rsidRDefault="00000000" w:rsidRPr="00000000" w14:paraId="0000003D">
      <w:pPr>
        <w:rPr>
          <w:rFonts w:ascii="Lato" w:cs="Lato" w:eastAsia="Lato" w:hAnsi="La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