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A899" w14:textId="4E89AC8A" w:rsidR="0089224F" w:rsidRDefault="00F4502B">
      <w:r w:rsidRPr="00F4502B">
        <w:rPr>
          <w:b/>
          <w:bCs/>
        </w:rPr>
        <w:t>Model:</w:t>
      </w:r>
      <w:r>
        <w:t xml:space="preserve"> </w:t>
      </w:r>
      <w:r w:rsidR="009F4FB6">
        <w:t xml:space="preserve">The </w:t>
      </w:r>
      <w:r w:rsidR="00E513F2">
        <w:t xml:space="preserve">model is a </w:t>
      </w:r>
      <w:r w:rsidR="00536C89">
        <w:t>three-component</w:t>
      </w:r>
      <w:r w:rsidR="00E513F2">
        <w:t xml:space="preserve"> reaction-diffusion system, the variables are </w:t>
      </w:r>
      <w:r w:rsidR="00AD594F">
        <w:t xml:space="preserve">the population density of climax bacteria, denoted by </w:t>
      </w:r>
      <m:oMath>
        <m:r>
          <w:rPr>
            <w:rFonts w:ascii="Cambria Math" w:hAnsi="Cambria Math"/>
          </w:rPr>
          <m:t>C</m:t>
        </m:r>
      </m:oMath>
      <w:r w:rsidR="00AD594F">
        <w:rPr>
          <w:rFonts w:eastAsiaTheme="minorEastAsia"/>
        </w:rPr>
        <w:t>, population density of attack bacteria</w:t>
      </w:r>
      <w:r w:rsidR="00536C8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36C89">
        <w:rPr>
          <w:rFonts w:eastAsiaTheme="minorEastAsia"/>
        </w:rPr>
        <w:t xml:space="preserve">, and oxygen concentration, </w:t>
      </w:r>
      <m:oMath>
        <m:r>
          <w:rPr>
            <w:rFonts w:ascii="Cambria Math" w:eastAsiaTheme="minorEastAsia" w:hAnsi="Cambria Math"/>
          </w:rPr>
          <m:t>W</m:t>
        </m:r>
      </m:oMath>
      <w:r w:rsidR="00536C89">
        <w:rPr>
          <w:rFonts w:eastAsiaTheme="minorEastAsia"/>
        </w:rPr>
        <w:t>.</w:t>
      </w:r>
      <w:r w:rsidR="00536C89">
        <w:t xml:space="preserve"> </w:t>
      </w:r>
      <w:r w:rsidR="0089224F">
        <w:t xml:space="preserve">The full model </w:t>
      </w:r>
      <w:r w:rsidR="00536C89">
        <w:t>equations are given by</w:t>
      </w:r>
    </w:p>
    <w:p w14:paraId="44B1E364" w14:textId="77777777" w:rsidR="0057333A" w:rsidRDefault="0057333A"/>
    <w:p w14:paraId="7F4134E9" w14:textId="6DF494D0" w:rsidR="001029D8" w:rsidRPr="00793F9C" w:rsidRDefault="009B76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qFW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μW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ηCW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</m:oMath>
      </m:oMathPara>
    </w:p>
    <w:p w14:paraId="44013CDB" w14:textId="1D861235" w:rsidR="00793F9C" w:rsidRDefault="00793F9C">
      <w:pPr>
        <w:rPr>
          <w:rFonts w:eastAsiaTheme="minorEastAsia"/>
        </w:rPr>
      </w:pPr>
    </w:p>
    <w:p w14:paraId="1C8E0B14" w14:textId="1E84DBDE" w:rsidR="0057333A" w:rsidRDefault="00837232">
      <w:pPr>
        <w:rPr>
          <w:rFonts w:eastAsiaTheme="minorEastAsia"/>
        </w:rPr>
      </w:pPr>
      <w:r>
        <w:rPr>
          <w:rFonts w:eastAsiaTheme="minorEastAsia"/>
        </w:rPr>
        <w:t>w</w:t>
      </w:r>
      <w:r w:rsidR="00E71C4B">
        <w:rPr>
          <w:rFonts w:eastAsiaTheme="minorEastAsia"/>
        </w:rPr>
        <w:t xml:space="preserve">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E71C4B">
        <w:rPr>
          <w:rFonts w:eastAsiaTheme="minorEastAsia"/>
        </w:rPr>
        <w:t xml:space="preserve"> is the Laplace</w:t>
      </w:r>
      <w:r>
        <w:rPr>
          <w:rFonts w:eastAsiaTheme="minorEastAsia"/>
        </w:rPr>
        <w:t xml:space="preserve"> operator</w:t>
      </w:r>
      <w:r w:rsidR="00BF6E3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λ=λ(x,y)</m:t>
        </m:r>
      </m:oMath>
      <w:r>
        <w:rPr>
          <w:rFonts w:eastAsiaTheme="minorEastAsia"/>
        </w:rPr>
        <w:t xml:space="preserve">. </w:t>
      </w:r>
      <w:r w:rsidR="0057333A">
        <w:rPr>
          <w:rFonts w:eastAsiaTheme="minorEastAsia"/>
        </w:rPr>
        <w:t>This system can be nondimensionalized by defining</w:t>
      </w:r>
      <w:r w:rsidR="00C709EB">
        <w:rPr>
          <w:rFonts w:eastAsiaTheme="minorEastAsia"/>
        </w:rPr>
        <w:t xml:space="preserve"> the scaled variables</w:t>
      </w:r>
      <w:r w:rsidR="002C63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, 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, 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4836F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4836FD">
        <w:rPr>
          <w:rFonts w:eastAsiaTheme="minorEastAsia"/>
        </w:rPr>
        <w:t xml:space="preserve"> </w:t>
      </w:r>
      <w:r w:rsidR="00100CB3">
        <w:rPr>
          <w:rFonts w:eastAsiaTheme="minorEastAsia"/>
        </w:rPr>
        <w:t xml:space="preserve">and constants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β,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ηk</m:t>
        </m:r>
      </m:oMath>
      <w:r w:rsidR="00EC3A3A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F47E3C">
        <w:rPr>
          <w:rFonts w:eastAsiaTheme="minorEastAsia"/>
        </w:rPr>
        <w:t xml:space="preserve">. Rewriting and dropping the *’s, the </w:t>
      </w:r>
      <w:r w:rsidR="00921697">
        <w:rPr>
          <w:rFonts w:eastAsiaTheme="minorEastAsia"/>
        </w:rPr>
        <w:t>nondimensionalized system is</w:t>
      </w:r>
    </w:p>
    <w:p w14:paraId="5FF2C6C9" w14:textId="77777777" w:rsidR="00921697" w:rsidRDefault="00921697">
      <w:pPr>
        <w:rPr>
          <w:rFonts w:eastAsiaTheme="minorEastAsia"/>
        </w:rPr>
      </w:pPr>
    </w:p>
    <w:p w14:paraId="7E9356AD" w14:textId="5A5BF0E4" w:rsidR="006172EE" w:rsidRPr="00B46C72" w:rsidRDefault="009B76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qfw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μw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ηcw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FB7E8FB" w14:textId="77777777" w:rsidR="00B46C72" w:rsidRDefault="00B46C72">
      <w:pPr>
        <w:rPr>
          <w:rFonts w:eastAsiaTheme="minorEastAsia"/>
        </w:rPr>
      </w:pPr>
    </w:p>
    <w:p w14:paraId="001B4555" w14:textId="28E6470E" w:rsidR="009A240C" w:rsidRDefault="00F11E9C">
      <w:pPr>
        <w:rPr>
          <w:rFonts w:eastAsiaTheme="minorEastAsia"/>
        </w:rPr>
      </w:pPr>
      <w:r>
        <w:rPr>
          <w:rFonts w:eastAsiaTheme="minorEastAsia"/>
          <w:b/>
          <w:bCs/>
        </w:rPr>
        <w:t>Boundary Conditions</w:t>
      </w:r>
      <w:r w:rsidR="005606A2">
        <w:rPr>
          <w:rFonts w:eastAsiaTheme="minorEastAsia"/>
          <w:b/>
          <w:bCs/>
        </w:rPr>
        <w:t xml:space="preserve"> (</w:t>
      </w:r>
      <w:r w:rsidR="00E421CC">
        <w:rPr>
          <w:rFonts w:eastAsiaTheme="minorEastAsia"/>
          <w:b/>
          <w:bCs/>
        </w:rPr>
        <w:t>2-dimensions)</w:t>
      </w:r>
      <w:r>
        <w:rPr>
          <w:rFonts w:eastAsiaTheme="minorEastAsia"/>
          <w:b/>
          <w:bCs/>
        </w:rPr>
        <w:t xml:space="preserve">: </w:t>
      </w:r>
      <w:r w:rsidR="002A3B45">
        <w:rPr>
          <w:rFonts w:eastAsiaTheme="minorEastAsia"/>
        </w:rPr>
        <w:t>To determine boundary c</w:t>
      </w:r>
      <w:r w:rsidR="00226189">
        <w:rPr>
          <w:rFonts w:eastAsiaTheme="minorEastAsia"/>
        </w:rPr>
        <w:t xml:space="preserve">onditions, we consider </w:t>
      </w:r>
      <w:r w:rsidR="00DA7198">
        <w:rPr>
          <w:rFonts w:eastAsiaTheme="minorEastAsia"/>
        </w:rPr>
        <w:t xml:space="preserve">an open airway </w:t>
      </w:r>
      <w:r w:rsidR="009F63AD">
        <w:rPr>
          <w:rFonts w:eastAsiaTheme="minorEastAsia"/>
        </w:rPr>
        <w:t xml:space="preserve">lined with mucus. </w:t>
      </w:r>
      <w:r w:rsidR="00CE45FB">
        <w:rPr>
          <w:rFonts w:eastAsiaTheme="minorEastAsia"/>
        </w:rPr>
        <w:t xml:space="preserve">The airway can be represented as a rectangle </w:t>
      </w:r>
      <w:r w:rsidR="00D01210">
        <w:rPr>
          <w:rFonts w:eastAsiaTheme="minorEastAsia"/>
        </w:rPr>
        <w:t xml:space="preserve">with periodic boundaries on the left and right side and </w:t>
      </w:r>
      <w:r w:rsidR="00927806">
        <w:rPr>
          <w:rFonts w:eastAsiaTheme="minorEastAsia"/>
        </w:rPr>
        <w:t xml:space="preserve">Neumann </w:t>
      </w:r>
      <w:r w:rsidR="00762C7B">
        <w:rPr>
          <w:rFonts w:eastAsiaTheme="minorEastAsia"/>
        </w:rPr>
        <w:t xml:space="preserve">and Dirichlet </w:t>
      </w:r>
      <w:r w:rsidR="00F70429">
        <w:rPr>
          <w:rFonts w:eastAsiaTheme="minorEastAsia"/>
        </w:rPr>
        <w:t xml:space="preserve">boundary conditions on the top and </w:t>
      </w:r>
      <w:r w:rsidR="00D95958">
        <w:rPr>
          <w:rFonts w:eastAsiaTheme="minorEastAsia"/>
        </w:rPr>
        <w:t xml:space="preserve">bottom. </w:t>
      </w:r>
      <w:r w:rsidR="00B5484D">
        <w:rPr>
          <w:rFonts w:eastAsiaTheme="minorEastAsia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×[0,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E2617">
        <w:rPr>
          <w:rFonts w:eastAsiaTheme="minorEastAsia"/>
        </w:rPr>
        <w:t xml:space="preserve"> be the domain</w:t>
      </w:r>
      <w:r w:rsidR="004E0A67">
        <w:rPr>
          <w:rFonts w:eastAsiaTheme="minorEastAsia"/>
        </w:rPr>
        <w:t xml:space="preserve">. The boundary conditions for the lateral </w:t>
      </w:r>
      <w:r w:rsidR="008A7111">
        <w:rPr>
          <w:rFonts w:eastAsiaTheme="minorEastAsia"/>
        </w:rPr>
        <w:t>sides</w:t>
      </w:r>
      <w:r w:rsidR="009A240C">
        <w:rPr>
          <w:rFonts w:eastAsiaTheme="minorEastAsia"/>
        </w:rPr>
        <w:t xml:space="preserve"> are</w:t>
      </w:r>
    </w:p>
    <w:p w14:paraId="24B630F8" w14:textId="03B274D6" w:rsidR="008A7111" w:rsidRDefault="00007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124F41C" w14:textId="77777777" w:rsidR="000C7EF0" w:rsidRDefault="000C7EF0">
      <w:pPr>
        <w:rPr>
          <w:rFonts w:eastAsiaTheme="minorEastAsia"/>
        </w:rPr>
      </w:pPr>
    </w:p>
    <w:p w14:paraId="2A86BE8C" w14:textId="6B206378" w:rsidR="00851310" w:rsidRDefault="00851310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DD5EDE">
        <w:rPr>
          <w:rFonts w:eastAsiaTheme="minorEastAsia"/>
        </w:rPr>
        <w:t xml:space="preserve">consider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DD5EDE">
        <w:rPr>
          <w:rFonts w:eastAsiaTheme="minorEastAsia"/>
        </w:rPr>
        <w:t xml:space="preserve"> to be a clogged airway </w:t>
      </w:r>
      <w:r w:rsidR="00CE58F0">
        <w:rPr>
          <w:rFonts w:eastAsiaTheme="minorEastAsia"/>
        </w:rPr>
        <w:t>which is open at the top and clogged with mucus at the bottom</w:t>
      </w:r>
      <w:r w:rsidR="00AA0952">
        <w:rPr>
          <w:rFonts w:eastAsiaTheme="minorEastAsia"/>
        </w:rPr>
        <w:t xml:space="preserve">, so that oxygen is entering from the top but not able to penetrate </w:t>
      </w:r>
      <w:r w:rsidR="00BE5714">
        <w:rPr>
          <w:rFonts w:eastAsiaTheme="minorEastAsia"/>
        </w:rPr>
        <w:t xml:space="preserve">the mucus at the bottom </w:t>
      </w:r>
      <w:r w:rsidR="00BE5714">
        <w:rPr>
          <w:rFonts w:eastAsiaTheme="minorEastAsia"/>
        </w:rPr>
        <w:fldChar w:fldCharType="begin"/>
      </w:r>
      <w:r w:rsidR="00BE5714">
        <w:rPr>
          <w:rFonts w:eastAsiaTheme="minorEastAsia"/>
        </w:rPr>
        <w:instrText xml:space="preserve"> ADDIN EN.CITE &lt;EndNote&gt;&lt;Cite&gt;&lt;Author&gt;Cowley&lt;/Author&gt;&lt;Year&gt;2015&lt;/Year&gt;&lt;RecNum&gt;45&lt;/RecNum&gt;&lt;DisplayText&gt;(1)&lt;/DisplayText&gt;&lt;record&gt;&lt;rec-number&gt;45&lt;/rec-number&gt;&lt;foreign-keys&gt;&lt;key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BE5714">
        <w:rPr>
          <w:rFonts w:eastAsiaTheme="minorEastAsia"/>
        </w:rPr>
        <w:fldChar w:fldCharType="separate"/>
      </w:r>
      <w:r w:rsidR="00BE5714">
        <w:rPr>
          <w:rFonts w:eastAsiaTheme="minorEastAsia"/>
          <w:noProof/>
        </w:rPr>
        <w:t>(1)</w:t>
      </w:r>
      <w:r w:rsidR="00BE5714">
        <w:rPr>
          <w:rFonts w:eastAsiaTheme="minorEastAsia"/>
        </w:rPr>
        <w:fldChar w:fldCharType="end"/>
      </w:r>
      <w:r w:rsidR="00BE5714">
        <w:rPr>
          <w:rFonts w:eastAsiaTheme="minorEastAsia"/>
        </w:rPr>
        <w:t>.</w:t>
      </w:r>
      <w:r w:rsidR="0095616F">
        <w:rPr>
          <w:rFonts w:eastAsiaTheme="minorEastAsia"/>
        </w:rPr>
        <w:t xml:space="preserve"> We also assume that bacteria are neither entering </w:t>
      </w:r>
      <w:r w:rsidR="00617B3B">
        <w:rPr>
          <w:rFonts w:eastAsiaTheme="minorEastAsia"/>
        </w:rPr>
        <w:t>or</w:t>
      </w:r>
      <w:r w:rsidR="00623126">
        <w:rPr>
          <w:rFonts w:eastAsiaTheme="minorEastAsia"/>
        </w:rPr>
        <w:t xml:space="preserve"> exiting through the boundary, so the boundary conditions at the top and bottom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623126">
        <w:rPr>
          <w:rFonts w:eastAsiaTheme="minorEastAsia"/>
        </w:rPr>
        <w:t xml:space="preserve"> are</w:t>
      </w:r>
    </w:p>
    <w:p w14:paraId="43ABC30E" w14:textId="77777777" w:rsidR="00D40601" w:rsidRDefault="00D40601">
      <w:pPr>
        <w:rPr>
          <w:rFonts w:eastAsiaTheme="minorEastAsia"/>
        </w:rPr>
      </w:pPr>
    </w:p>
    <w:p w14:paraId="54FDD665" w14:textId="07B84F22" w:rsidR="00C967AE" w:rsidRDefault="00C967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Top:</w:t>
      </w:r>
    </w:p>
    <w:p w14:paraId="1665CEE0" w14:textId="22D9D651" w:rsidR="00D40601" w:rsidRPr="00E73569" w:rsidRDefault="009B76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source</m:t>
              </m:r>
            </m:sub>
          </m:sSub>
        </m:oMath>
      </m:oMathPara>
    </w:p>
    <w:p w14:paraId="2564587F" w14:textId="38B3C654" w:rsidR="00E73569" w:rsidRDefault="00E73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3ED67FB" w14:textId="31060A73" w:rsidR="00E73569" w:rsidRDefault="00E73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Bottom:</w:t>
      </w:r>
    </w:p>
    <w:p w14:paraId="555F6002" w14:textId="5F2BDFB2" w:rsidR="00B90916" w:rsidRPr="00E73569" w:rsidRDefault="009B762A" w:rsidP="00B909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,0,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,0,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,0,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6BECEC" w14:textId="77777777" w:rsidR="00A50E69" w:rsidRDefault="00A50E69">
      <w:pPr>
        <w:rPr>
          <w:rFonts w:eastAsiaTheme="minorEastAsia"/>
        </w:rPr>
      </w:pPr>
    </w:p>
    <w:p w14:paraId="78D412C9" w14:textId="21E39D3D" w:rsidR="007B2EA7" w:rsidRDefault="007B2EA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CC4027">
        <w:rPr>
          <w:rFonts w:eastAsiaTheme="minorEastAsia"/>
        </w:rPr>
        <w:t xml:space="preserve"> is </w:t>
      </w:r>
      <w:r w:rsidR="00A50E69">
        <w:rPr>
          <w:rFonts w:eastAsiaTheme="minorEastAsia"/>
        </w:rPr>
        <w:t>the constant oxygen flow entering the airway</w:t>
      </w:r>
      <w:r w:rsidR="00A9464D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A9464D">
        <w:rPr>
          <w:rFonts w:eastAsiaTheme="minorEastAsia"/>
        </w:rPr>
        <w:t xml:space="preserve"> is a normal vector at the boundary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A50E69">
        <w:rPr>
          <w:rFonts w:eastAsiaTheme="minorEastAsia"/>
        </w:rPr>
        <w:t xml:space="preserve">. </w:t>
      </w:r>
    </w:p>
    <w:p w14:paraId="7D4494AE" w14:textId="77777777" w:rsidR="002C478B" w:rsidRDefault="002C478B">
      <w:pPr>
        <w:rPr>
          <w:rFonts w:eastAsiaTheme="minorEastAsia"/>
        </w:rPr>
      </w:pPr>
    </w:p>
    <w:p w14:paraId="58105943" w14:textId="2A0DA4C9" w:rsidR="002C478B" w:rsidRDefault="00C50C05">
      <w:pPr>
        <w:rPr>
          <w:rFonts w:eastAsiaTheme="minorEastAsia"/>
        </w:rPr>
      </w:pPr>
      <w:r>
        <w:rPr>
          <w:rFonts w:eastAsiaTheme="minorEastAsia"/>
          <w:b/>
          <w:bCs/>
        </w:rPr>
        <w:t>Initial Conditions</w:t>
      </w:r>
      <w:r w:rsidR="000C2681">
        <w:rPr>
          <w:rFonts w:eastAsiaTheme="minorEastAsia"/>
          <w:b/>
          <w:bCs/>
        </w:rPr>
        <w:t xml:space="preserve"> (2-dimensions):</w:t>
      </w:r>
      <w:r w:rsidR="00B94D9E">
        <w:rPr>
          <w:rFonts w:eastAsiaTheme="minorEastAsia"/>
        </w:rPr>
        <w:t xml:space="preserve"> </w:t>
      </w:r>
      <w:r w:rsidR="000D2008">
        <w:rPr>
          <w:rFonts w:eastAsiaTheme="minorEastAsia"/>
        </w:rPr>
        <w:t xml:space="preserve">Initial conditions for the model </w:t>
      </w:r>
      <w:r w:rsidR="00BC6FA4">
        <w:rPr>
          <w:rFonts w:eastAsiaTheme="minorEastAsia"/>
        </w:rPr>
        <w:t>are given by</w:t>
      </w:r>
    </w:p>
    <w:p w14:paraId="4CA039E4" w14:textId="77777777" w:rsidR="00BC6FA4" w:rsidRDefault="00BC6FA4">
      <w:pPr>
        <w:rPr>
          <w:rFonts w:eastAsiaTheme="minorEastAsia"/>
        </w:rPr>
      </w:pPr>
    </w:p>
    <w:p w14:paraId="6ED49C63" w14:textId="037F9081" w:rsidR="00BC6FA4" w:rsidRPr="003C660F" w:rsidRDefault="00100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D714E0F" w14:textId="77777777" w:rsidR="003C660F" w:rsidRDefault="003C660F">
      <w:pPr>
        <w:rPr>
          <w:rFonts w:eastAsiaTheme="minorEastAsia"/>
        </w:rPr>
      </w:pPr>
    </w:p>
    <w:p w14:paraId="2AA43F80" w14:textId="4E796BA5" w:rsidR="00C266E5" w:rsidRDefault="00C93CB4">
      <w:pPr>
        <w:rPr>
          <w:rFonts w:eastAsiaTheme="minorEastAsia"/>
        </w:rPr>
      </w:pPr>
      <w:r>
        <w:rPr>
          <w:rFonts w:eastAsiaTheme="minorEastAsia"/>
        </w:rPr>
        <w:t xml:space="preserve">The initial value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</w:t>
      </w:r>
      <w:r w:rsidR="00E279F8">
        <w:rPr>
          <w:rFonts w:eastAsiaTheme="minorEastAsia"/>
        </w:rPr>
        <w:t xml:space="preserve"> </w:t>
      </w:r>
      <w:r w:rsidR="00437EE3">
        <w:rPr>
          <w:rFonts w:eastAsiaTheme="minorEastAsia"/>
        </w:rPr>
        <w:t xml:space="preserve">be uniform (constant) or spatially dependent. </w:t>
      </w:r>
      <w:r w:rsidR="00B80DB6">
        <w:rPr>
          <w:rFonts w:eastAsiaTheme="minorEastAsia"/>
        </w:rPr>
        <w:t xml:space="preserve">Assuming oxygen concentration decreases from the top of the column, </w:t>
      </w:r>
      <w:r w:rsidR="00C15601">
        <w:rPr>
          <w:rFonts w:eastAsiaTheme="minorEastAsia"/>
        </w:rPr>
        <w:t xml:space="preserve">then </w:t>
      </w:r>
      <w:r w:rsidR="00BC4A10">
        <w:rPr>
          <w:rFonts w:eastAsiaTheme="minorEastAsia"/>
        </w:rPr>
        <w:t xml:space="preserve">we can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d>
          </m:sup>
        </m:sSup>
      </m:oMath>
      <w:r w:rsidR="009D77B1">
        <w:rPr>
          <w:rFonts w:eastAsiaTheme="minorEastAsia"/>
        </w:rPr>
        <w:t xml:space="preserve">. </w:t>
      </w:r>
      <w:r w:rsidR="00C31E65">
        <w:rPr>
          <w:rFonts w:eastAsiaTheme="minorEastAsia"/>
        </w:rPr>
        <w:t xml:space="preserve">Climax and attack bacteria can </w:t>
      </w:r>
      <w:r w:rsidR="00FB4116">
        <w:rPr>
          <w:rFonts w:eastAsiaTheme="minorEastAsia"/>
        </w:rPr>
        <w:t xml:space="preserve">be initially distributed by choosing constant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C165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C165C">
        <w:rPr>
          <w:rFonts w:eastAsiaTheme="minorEastAsia"/>
        </w:rPr>
        <w:t xml:space="preserve">, or distributed locally </w:t>
      </w:r>
      <w:r w:rsidR="008B5815">
        <w:rPr>
          <w:rFonts w:eastAsiaTheme="minorEastAsia"/>
        </w:rPr>
        <w:t>using</w:t>
      </w:r>
      <w:r w:rsidR="007C165C">
        <w:rPr>
          <w:rFonts w:eastAsiaTheme="minorEastAsia"/>
        </w:rPr>
        <w:t>, e.g.,</w:t>
      </w:r>
      <w:r w:rsidR="008B5815">
        <w:rPr>
          <w:rFonts w:eastAsiaTheme="minorEastAsia"/>
        </w:rPr>
        <w:t xml:space="preserve"> </w:t>
      </w:r>
      <w:r w:rsidR="007B327A">
        <w:rPr>
          <w:rFonts w:eastAsiaTheme="minorEastAsia"/>
        </w:rPr>
        <w:t>Gaussian functions</w:t>
      </w:r>
      <w:r w:rsidR="00C266E5">
        <w:rPr>
          <w:rFonts w:eastAsiaTheme="minorEastAsia"/>
        </w:rPr>
        <w:t>,</w:t>
      </w:r>
      <w:r w:rsidR="002534F0">
        <w:rPr>
          <w:rFonts w:eastAsiaTheme="minorEastAsia"/>
        </w:rPr>
        <w:t xml:space="preserve"> i.e.,</w:t>
      </w:r>
    </w:p>
    <w:p w14:paraId="084CC557" w14:textId="77777777" w:rsidR="00C266E5" w:rsidRDefault="00C266E5">
      <w:pPr>
        <w:rPr>
          <w:rFonts w:eastAsiaTheme="minorEastAsia"/>
        </w:rPr>
      </w:pPr>
    </w:p>
    <w:p w14:paraId="453D8B64" w14:textId="6ECADA57" w:rsidR="003C660F" w:rsidRDefault="009B762A" w:rsidP="00C266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6D422EF0" w14:textId="72462D9D" w:rsidR="002C478B" w:rsidRDefault="003D75B8">
      <w:pPr>
        <w:rPr>
          <w:rFonts w:eastAsiaTheme="minorEastAsia"/>
        </w:rPr>
      </w:pPr>
      <w:r w:rsidRPr="003D75B8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fy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3C9F1B3" w14:textId="77777777" w:rsidR="002C478B" w:rsidRDefault="002C478B">
      <w:pPr>
        <w:rPr>
          <w:rFonts w:eastAsiaTheme="minorEastAsia"/>
        </w:rPr>
      </w:pPr>
    </w:p>
    <w:p w14:paraId="69D77F9F" w14:textId="77777777" w:rsidR="002C478B" w:rsidRDefault="002C478B">
      <w:pPr>
        <w:rPr>
          <w:rFonts w:eastAsiaTheme="minorEastAsia"/>
        </w:rPr>
      </w:pPr>
    </w:p>
    <w:p w14:paraId="71BF8737" w14:textId="0E873FC0" w:rsidR="002C478B" w:rsidRDefault="009D3976">
      <w:pPr>
        <w:rPr>
          <w:rFonts w:eastAsiaTheme="minorEastAsia"/>
        </w:rPr>
      </w:pPr>
      <w:r>
        <w:rPr>
          <w:rFonts w:eastAsiaTheme="minorEastAsia"/>
          <w:b/>
          <w:bCs/>
        </w:rPr>
        <w:t>Boundary Conditions (1-dimension):</w:t>
      </w:r>
      <w:r>
        <w:rPr>
          <w:rFonts w:eastAsiaTheme="minorEastAsia"/>
        </w:rPr>
        <w:t xml:space="preserve"> </w:t>
      </w:r>
      <w:r w:rsidR="007409D0">
        <w:rPr>
          <w:rFonts w:eastAsiaTheme="minorEastAsia"/>
        </w:rPr>
        <w:t xml:space="preserve">For </w:t>
      </w:r>
      <w:r w:rsidR="00163D26">
        <w:rPr>
          <w:rFonts w:eastAsiaTheme="minorEastAsia"/>
        </w:rPr>
        <w:t xml:space="preserve">a one-dimensional domain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=[0,L]</m:t>
        </m:r>
      </m:oMath>
      <w:r w:rsidR="001C3F27">
        <w:rPr>
          <w:rFonts w:eastAsiaTheme="minorEastAsia"/>
        </w:rPr>
        <w:t>, we assume constant oxygen inflow on th</w:t>
      </w:r>
      <w:r w:rsidR="00006E45">
        <w:rPr>
          <w:rFonts w:eastAsiaTheme="minorEastAsia"/>
        </w:rPr>
        <w:t xml:space="preserve">roughout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006E45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006E45">
        <w:rPr>
          <w:rFonts w:eastAsiaTheme="minorEastAsia"/>
        </w:rPr>
        <w:t xml:space="preserve"> and periodic </w:t>
      </w:r>
      <w:r w:rsidR="00661E7A">
        <w:rPr>
          <w:rFonts w:eastAsiaTheme="minorEastAsia"/>
        </w:rPr>
        <w:t>boundaries</w:t>
      </w:r>
      <w:r w:rsidR="00006E45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</m:t>
        </m:r>
      </m:oMath>
      <w:r w:rsidR="00006E4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x=L</m:t>
        </m:r>
      </m:oMath>
      <w:r w:rsidR="00006E45">
        <w:rPr>
          <w:rFonts w:eastAsiaTheme="minorEastAsia"/>
        </w:rPr>
        <w:t>.</w:t>
      </w:r>
      <w:r w:rsidR="009E1653">
        <w:rPr>
          <w:rFonts w:eastAsiaTheme="minorEastAsia"/>
        </w:rPr>
        <w:t xml:space="preserve"> The BC’s can be written</w:t>
      </w:r>
    </w:p>
    <w:p w14:paraId="5783784A" w14:textId="52E10FB1" w:rsidR="00BD6CA6" w:rsidRDefault="00BD6CA6" w:rsidP="00BD6C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0AE76D" w14:textId="77777777" w:rsidR="002A1D5E" w:rsidRDefault="002A1D5E">
      <w:pPr>
        <w:rPr>
          <w:rFonts w:eastAsiaTheme="minorEastAsia"/>
          <w:b/>
          <w:bCs/>
        </w:rPr>
      </w:pPr>
    </w:p>
    <w:p w14:paraId="5C1577E5" w14:textId="7E66D565" w:rsidR="009E1653" w:rsidRDefault="00E85E53">
      <w:pPr>
        <w:rPr>
          <w:rFonts w:eastAsiaTheme="minorEastAsia"/>
        </w:rPr>
      </w:pPr>
      <w:r>
        <w:rPr>
          <w:rFonts w:eastAsiaTheme="minorEastAsia"/>
          <w:b/>
          <w:bCs/>
        </w:rPr>
        <w:t>Initial Conditions (1-dimension):</w:t>
      </w:r>
      <w:r>
        <w:rPr>
          <w:rFonts w:eastAsiaTheme="minorEastAsia"/>
        </w:rPr>
        <w:t xml:space="preserve"> </w:t>
      </w:r>
      <w:r w:rsidR="00136572">
        <w:rPr>
          <w:rFonts w:eastAsiaTheme="minorEastAsia"/>
        </w:rPr>
        <w:t>In</w:t>
      </w:r>
      <w:r w:rsidR="00FF1BCF">
        <w:rPr>
          <w:rFonts w:eastAsiaTheme="minorEastAsia"/>
        </w:rPr>
        <w:t xml:space="preserve">itial conditions for oxygen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=[0,L]</m:t>
        </m:r>
      </m:oMath>
      <w:r w:rsidR="00FF1BCF">
        <w:rPr>
          <w:rFonts w:eastAsiaTheme="minorEastAsia"/>
        </w:rPr>
        <w:t xml:space="preserve"> are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1662D9">
        <w:rPr>
          <w:rFonts w:eastAsiaTheme="minorEastAsia"/>
        </w:rPr>
        <w:t xml:space="preserve">. </w:t>
      </w:r>
      <w:r w:rsidR="00A003D4">
        <w:rPr>
          <w:rFonts w:eastAsiaTheme="minorEastAsia"/>
        </w:rPr>
        <w:t xml:space="preserve">Initial distributions for </w:t>
      </w:r>
      <w:r w:rsidR="00A003D4">
        <w:rPr>
          <w:rFonts w:eastAsiaTheme="minorEastAsia"/>
          <w:i/>
          <w:iCs/>
        </w:rPr>
        <w:t>c</w:t>
      </w:r>
      <w:r w:rsidR="00A003D4">
        <w:rPr>
          <w:rFonts w:eastAsiaTheme="minorEastAsia"/>
        </w:rPr>
        <w:t xml:space="preserve"> and </w:t>
      </w:r>
      <w:r w:rsidR="00A003D4">
        <w:rPr>
          <w:rFonts w:eastAsiaTheme="minorEastAsia"/>
          <w:i/>
          <w:iCs/>
        </w:rPr>
        <w:t>f</w:t>
      </w:r>
      <w:r w:rsidR="00A003D4">
        <w:rPr>
          <w:rFonts w:eastAsiaTheme="minorEastAsia"/>
        </w:rPr>
        <w:t xml:space="preserve"> can be either uniform or </w:t>
      </w:r>
      <w:r w:rsidR="000C4174">
        <w:rPr>
          <w:rFonts w:eastAsiaTheme="minorEastAsia"/>
        </w:rPr>
        <w:t xml:space="preserve">localized. In the case that they are localized, </w:t>
      </w:r>
      <w:r w:rsidR="00C50DD4">
        <w:rPr>
          <w:rFonts w:eastAsiaTheme="minorEastAsia"/>
        </w:rPr>
        <w:t>initial conditions are given by the Gaussian functions</w:t>
      </w:r>
    </w:p>
    <w:p w14:paraId="37F2E89C" w14:textId="77777777" w:rsidR="00C50DD4" w:rsidRDefault="00C50DD4">
      <w:pPr>
        <w:rPr>
          <w:rFonts w:eastAsiaTheme="minorEastAsia"/>
        </w:rPr>
      </w:pPr>
    </w:p>
    <w:p w14:paraId="4259340F" w14:textId="4CABDAC3" w:rsidR="00C50DD4" w:rsidRDefault="009B762A" w:rsidP="00C50D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732EF917" w14:textId="77F453F6" w:rsidR="00C50DD4" w:rsidRDefault="00C50DD4" w:rsidP="00C50DD4">
      <w:pPr>
        <w:rPr>
          <w:rFonts w:eastAsiaTheme="minorEastAsia"/>
        </w:rPr>
      </w:pPr>
      <w:r w:rsidRPr="003D75B8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fx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19B1C23" w14:textId="393A751A" w:rsidR="00C50DD4" w:rsidRDefault="00C50DD4">
      <w:pPr>
        <w:rPr>
          <w:rFonts w:eastAsiaTheme="minorEastAsia"/>
        </w:rPr>
      </w:pPr>
    </w:p>
    <w:p w14:paraId="08ECC743" w14:textId="13B81B11" w:rsidR="00B8142A" w:rsidRPr="00B8142A" w:rsidRDefault="00B8142A">
      <w:pPr>
        <w:rPr>
          <w:rFonts w:eastAsiaTheme="minorEastAsia"/>
        </w:rPr>
      </w:pPr>
      <w:r>
        <w:rPr>
          <w:rFonts w:eastAsiaTheme="minorEastAsia"/>
          <w:b/>
          <w:bCs/>
        </w:rPr>
        <w:t>Initial Parameter Values:</w:t>
      </w:r>
      <w:r>
        <w:rPr>
          <w:rFonts w:eastAsiaTheme="minorEastAsia"/>
        </w:rPr>
        <w:t xml:space="preserve"> </w:t>
      </w:r>
      <w:r w:rsidR="00C70DDD">
        <w:rPr>
          <w:rFonts w:eastAsiaTheme="minorEastAsia"/>
        </w:rPr>
        <w:t>Base parameters are shown in Table 1</w:t>
      </w:r>
      <w:r w:rsidR="001E7451">
        <w:rPr>
          <w:rFonts w:eastAsiaTheme="minorEastAsia"/>
        </w:rPr>
        <w:t xml:space="preserve">. </w:t>
      </w:r>
      <w:r w:rsidR="004B6B95">
        <w:rPr>
          <w:rFonts w:eastAsiaTheme="minorEastAsia"/>
        </w:rPr>
        <w:t>Non-dimensionalized parameters are shown in Table</w:t>
      </w:r>
      <w:r w:rsidR="001123C2">
        <w:rPr>
          <w:rFonts w:eastAsiaTheme="minorEastAsia"/>
        </w:rPr>
        <w:t xml:space="preserve"> 2, using the scaling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day</m:t>
        </m:r>
      </m:oMath>
      <w:r w:rsidR="001123C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=12.4 μM</m:t>
        </m:r>
      </m:oMath>
      <w:r w:rsidR="00851AC4">
        <w:rPr>
          <w:rFonts w:eastAsiaTheme="minorEastAsia"/>
        </w:rPr>
        <w:t>.</w:t>
      </w:r>
    </w:p>
    <w:p w14:paraId="6C765AD5" w14:textId="77777777" w:rsidR="002C478B" w:rsidRDefault="002C478B" w:rsidP="00851AC4">
      <w:pPr>
        <w:rPr>
          <w:rFonts w:ascii="Arial" w:hAnsi="Arial" w:cs="Arial"/>
          <w:b/>
          <w:bCs/>
          <w:sz w:val="20"/>
        </w:rPr>
      </w:pPr>
    </w:p>
    <w:p w14:paraId="51C18AC8" w14:textId="39E9C71D" w:rsidR="002C478B" w:rsidRDefault="002C478B" w:rsidP="002C478B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t>Table 1:</w:t>
      </w:r>
      <w:r w:rsidRPr="008257B5">
        <w:rPr>
          <w:rFonts w:ascii="Arial" w:hAnsi="Arial" w:cs="Arial"/>
          <w:sz w:val="20"/>
        </w:rPr>
        <w:t xml:space="preserve"> </w:t>
      </w:r>
      <w:r w:rsidR="00B82841">
        <w:rPr>
          <w:rFonts w:ascii="Arial" w:hAnsi="Arial" w:cs="Arial"/>
          <w:sz w:val="20"/>
        </w:rPr>
        <w:t>Base pa</w:t>
      </w:r>
      <w:r w:rsidRPr="008257B5">
        <w:rPr>
          <w:rFonts w:ascii="Arial" w:hAnsi="Arial" w:cs="Arial"/>
          <w:sz w:val="20"/>
        </w:rPr>
        <w:t>rameter values and descriptions</w:t>
      </w:r>
    </w:p>
    <w:p w14:paraId="08F5FF70" w14:textId="77777777" w:rsidR="002C478B" w:rsidRPr="008257B5" w:rsidRDefault="002C478B" w:rsidP="002C478B">
      <w:pPr>
        <w:jc w:val="center"/>
        <w:rPr>
          <w:rFonts w:ascii="Arial" w:hAnsi="Arial" w:cs="Arial"/>
          <w:sz w:val="20"/>
        </w:rPr>
      </w:pPr>
    </w:p>
    <w:tbl>
      <w:tblPr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520"/>
        <w:gridCol w:w="2970"/>
        <w:gridCol w:w="1080"/>
      </w:tblGrid>
      <w:tr w:rsidR="002C478B" w:rsidRPr="009A0811" w14:paraId="0040BAEC" w14:textId="77777777" w:rsidTr="00E51F0F">
        <w:trPr>
          <w:trHeight w:val="259"/>
          <w:jc w:val="center"/>
        </w:trPr>
        <w:tc>
          <w:tcPr>
            <w:tcW w:w="1075" w:type="dxa"/>
          </w:tcPr>
          <w:p w14:paraId="60552AED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520" w:type="dxa"/>
          </w:tcPr>
          <w:p w14:paraId="3E5CABA0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970" w:type="dxa"/>
          </w:tcPr>
          <w:p w14:paraId="0430F7B0" w14:textId="5540279B" w:rsidR="002C478B" w:rsidRPr="002553C5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80" w:type="dxa"/>
          </w:tcPr>
          <w:p w14:paraId="659AD741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</w:tr>
      <w:tr w:rsidR="002C478B" w:rsidRPr="009A0811" w14:paraId="05194DD6" w14:textId="77777777" w:rsidTr="00E51F0F">
        <w:trPr>
          <w:trHeight w:val="532"/>
          <w:jc w:val="center"/>
        </w:trPr>
        <w:tc>
          <w:tcPr>
            <w:tcW w:w="1075" w:type="dxa"/>
          </w:tcPr>
          <w:p w14:paraId="4E4FAF33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520" w:type="dxa"/>
          </w:tcPr>
          <w:p w14:paraId="62010B99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Maximum possible climax growth rate</w:t>
            </w:r>
          </w:p>
        </w:tc>
        <w:tc>
          <w:tcPr>
            <w:tcW w:w="2970" w:type="dxa"/>
          </w:tcPr>
          <w:p w14:paraId="5D26CD2A" w14:textId="72CBDBC0" w:rsidR="002C478B" w:rsidRPr="00AD6FCB" w:rsidRDefault="00AD6FCB" w:rsidP="00E51F0F">
            <w:pPr>
              <w:jc w:val="center"/>
              <w:rPr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2C478B" w:rsidRPr="00BF01AE">
              <w:rPr>
                <w:rFonts w:ascii="Arial" w:hAnsi="Arial" w:cs="Arial"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3499A345" w14:textId="713E9852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Various</w:t>
            </w:r>
          </w:p>
        </w:tc>
      </w:tr>
      <w:tr w:rsidR="002C478B" w:rsidRPr="009A0811" w14:paraId="5ADC9358" w14:textId="77777777" w:rsidTr="00E51F0F">
        <w:trPr>
          <w:trHeight w:val="710"/>
          <w:jc w:val="center"/>
        </w:trPr>
        <w:tc>
          <w:tcPr>
            <w:tcW w:w="1075" w:type="dxa"/>
          </w:tcPr>
          <w:p w14:paraId="36CBADF6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520" w:type="dxa"/>
          </w:tcPr>
          <w:p w14:paraId="3EDD7814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 xml:space="preserve">Half-maximum response dose </w:t>
            </w: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Pr="009A0811">
              <w:rPr>
                <w:rFonts w:ascii="Arial" w:hAnsi="Arial" w:cs="Arial"/>
                <w:sz w:val="18"/>
                <w:szCs w:val="18"/>
              </w:rPr>
              <w:t xml:space="preserve"> oxygen</w:t>
            </w:r>
          </w:p>
        </w:tc>
        <w:tc>
          <w:tcPr>
            <w:tcW w:w="2970" w:type="dxa"/>
          </w:tcPr>
          <w:p w14:paraId="51547C91" w14:textId="6406C29D" w:rsidR="002C478B" w:rsidRPr="005C53CA" w:rsidRDefault="002C478B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  <w:r w:rsidR="00AD6FCB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14:paraId="313BB6B2" w14:textId="67F4070E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&lt;EndNote&gt;&lt;Cite&gt;&lt;Author&gt;Kempes&lt;/Author&gt;&lt;Year&gt;2014&lt;/Year&gt;&lt;RecNum&gt;11&lt;/RecNum&gt;&lt;DisplayText&gt;(2)&lt;/DisplayText&gt;&lt;record&gt;&lt;rec-number&gt;11&lt;/rec-number&gt;&lt;foreign-keys&gt;&lt;key app="EN" db-id="txf5zxrzyzavfkesr0852950azpfstx2vzwf" timestamp="1627358842" guid="8f243082-4f62-4a89-a5ac-4bb37cd82c03"&gt;11&lt;/key&gt;&lt;/foreign-keys&gt;&lt;ref-type name="Journal Article"&gt;17&lt;/ref-type&gt;&lt;contributors&gt;&lt;authors&gt;&lt;author&gt;Kempes, Christopher P.&lt;/author&gt;&lt;author&gt;Okegbe, Chinweike&lt;/author&gt;&lt;author&gt;Mears-Clarke, Zwoisaint&lt;/author&gt;&lt;author&gt;Follows, Michael J.&lt;/author&gt;&lt;author&gt;Dietrich, Lars E. P.&lt;/author&gt;&lt;/authors&gt;&lt;/contributors&gt;&lt;titles&gt;&lt;title&gt;Morphological optimization for access to dual oxidants in biofilms&lt;/title&gt;&lt;secondary-title&gt;Proceedings of the National Academy of Sciences&lt;/secondary-title&gt;&lt;/titles&gt;&lt;periodical&gt;&lt;full-title&gt;Proceedings of the National Academy of Sciences&lt;/full-title&gt;&lt;/periodical&gt;&lt;pages&gt;208-213&lt;/pages&gt;&lt;volume&gt;111&lt;/volume&gt;&lt;number&gt;1&lt;/number&gt;&lt;dates&gt;&lt;year&gt;2014&lt;/year&gt;&lt;/dates&gt;&lt;urls&gt;&lt;related-urls&gt;&lt;url&gt;https://www.pnas.org/content/pnas/111/1/208.full.pdf&lt;/url&gt;&lt;/related-urls&gt;&lt;/urls&gt;&lt;electronic-resource-num&gt;10.1073/pnas.1315521110&lt;/electronic-resource-num&gt;&lt;research-notes&gt;Oxygen ref. Uses same model for oxygen growth rate and SI has values for half-saturation oxygen value, my b&lt;/research-notes&gt;&lt;/record&gt;&lt;/Cite&gt;&lt;/EndNote&gt;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C478B" w:rsidRPr="009A0811" w14:paraId="51A322DB" w14:textId="77777777" w:rsidTr="00E51F0F">
        <w:trPr>
          <w:trHeight w:val="377"/>
          <w:jc w:val="center"/>
        </w:trPr>
        <w:tc>
          <w:tcPr>
            <w:tcW w:w="1075" w:type="dxa"/>
          </w:tcPr>
          <w:p w14:paraId="5B0D7826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520" w:type="dxa"/>
          </w:tcPr>
          <w:p w14:paraId="2EC73A33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Growth rate slope-factor</w:t>
            </w:r>
          </w:p>
        </w:tc>
        <w:tc>
          <w:tcPr>
            <w:tcW w:w="2970" w:type="dxa"/>
          </w:tcPr>
          <w:p w14:paraId="2C107BB0" w14:textId="0E955225" w:rsidR="002C478B" w:rsidRPr="002553C5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AD6FC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65DB84" w14:textId="1A2358D3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&lt;EndNote&gt;&lt;Cite&gt;&lt;Author&gt;Kempes&lt;/Author&gt;&lt;Year&gt;2014&lt;/Year&gt;&lt;RecNum&gt;11&lt;/RecNum&gt;&lt;DisplayText&gt;(2)&lt;/DisplayText&gt;&lt;record&gt;&lt;rec-number&gt;11&lt;/rec-number&gt;&lt;foreign-keys&gt;&lt;key app="EN" db-id="txf5zxrzyzavfkesr0852950azpfstx2vzwf" timestamp="1627358842" guid="8f243082-4f62-4a89-a5ac-4bb37cd82c03"&gt;11&lt;/key&gt;&lt;/foreign-keys&gt;&lt;ref-type name="Journal Article"&gt;17&lt;/ref-type&gt;&lt;contributors&gt;&lt;authors&gt;&lt;author&gt;Kempes, Christopher P.&lt;/author&gt;&lt;author&gt;Okegbe, Chinweike&lt;/author&gt;&lt;author&gt;Mears-Clarke, Zwoisaint&lt;/author&gt;&lt;author&gt;Follows, Michael J.&lt;/author&gt;&lt;author&gt;Dietrich, Lars E. P.&lt;/author&gt;&lt;/authors&gt;&lt;/contributors&gt;&lt;titles&gt;&lt;title&gt;Morphological optimization for access to dual oxidants in biofilms&lt;/title&gt;&lt;secondary-title&gt;Proceedings of the National Academy of Sciences&lt;/secondary-title&gt;&lt;/titles&gt;&lt;periodical&gt;&lt;full-title&gt;Proceedings of the National Academy of Sciences&lt;/full-title&gt;&lt;/periodical&gt;&lt;pages&gt;208-213&lt;/pages&gt;&lt;volume&gt;111&lt;/volume&gt;&lt;number&gt;1&lt;/number&gt;&lt;dates&gt;&lt;year&gt;2014&lt;/year&gt;&lt;/dates&gt;&lt;urls&gt;&lt;related-urls&gt;&lt;url&gt;https://www.pnas.org/content/pnas/111/1/208.full.pdf&lt;/url&gt;&lt;/related-urls&gt;&lt;/urls&gt;&lt;electronic-resource-num&gt;10.1073/pnas.1315521110&lt;/electronic-resource-num&gt;&lt;research-notes&gt;Oxygen ref. Uses same model for oxygen growth rate and SI has values for half-saturation oxygen value, my b&lt;/research-notes&gt;&lt;/record&gt;&lt;/Cite&gt;&lt;/EndNote&gt;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D6FCB" w:rsidRPr="009A0811" w14:paraId="5239023B" w14:textId="77777777" w:rsidTr="00E51F0F">
        <w:trPr>
          <w:trHeight w:val="259"/>
          <w:jc w:val="center"/>
        </w:trPr>
        <w:tc>
          <w:tcPr>
            <w:tcW w:w="1075" w:type="dxa"/>
          </w:tcPr>
          <w:p w14:paraId="7A7D0578" w14:textId="5A3681AC" w:rsidR="00AD6FCB" w:rsidRPr="00AD6FCB" w:rsidRDefault="00AD6FCB" w:rsidP="00E51F0F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520" w:type="dxa"/>
          </w:tcPr>
          <w:p w14:paraId="2947CB99" w14:textId="7256362C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death rate</w:t>
            </w:r>
          </w:p>
        </w:tc>
        <w:tc>
          <w:tcPr>
            <w:tcW w:w="2970" w:type="dxa"/>
          </w:tcPr>
          <w:p w14:paraId="425A81ED" w14:textId="7D8AFBED" w:rsidR="00AD6FCB" w:rsidRPr="002553C5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0.4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253736AB" w14:textId="66BEF81B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(3)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D6FCB" w:rsidRPr="009A0811" w14:paraId="13726AC6" w14:textId="77777777" w:rsidTr="00E51F0F">
        <w:trPr>
          <w:trHeight w:val="259"/>
          <w:jc w:val="center"/>
        </w:trPr>
        <w:tc>
          <w:tcPr>
            <w:tcW w:w="1075" w:type="dxa"/>
          </w:tcPr>
          <w:p w14:paraId="70176F8A" w14:textId="03DCF258" w:rsidR="00AD6FCB" w:rsidRPr="009A0811" w:rsidRDefault="00AD6FC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520" w:type="dxa"/>
          </w:tcPr>
          <w:p w14:paraId="4E1F06BB" w14:textId="09D07380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death rate</w:t>
            </w:r>
          </w:p>
        </w:tc>
        <w:tc>
          <w:tcPr>
            <w:tcW w:w="2970" w:type="dxa"/>
          </w:tcPr>
          <w:p w14:paraId="175208AE" w14:textId="63F66C54" w:rsidR="00AD6FCB" w:rsidRPr="002553C5" w:rsidRDefault="008F110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0.4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4123BF65" w14:textId="1CAEEF28" w:rsidR="00AD6FCB" w:rsidRPr="009A0811" w:rsidRDefault="008F110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(3)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3EC179E1" w14:textId="77777777" w:rsidTr="00E51F0F">
        <w:trPr>
          <w:trHeight w:val="259"/>
          <w:jc w:val="center"/>
        </w:trPr>
        <w:tc>
          <w:tcPr>
            <w:tcW w:w="1075" w:type="dxa"/>
          </w:tcPr>
          <w:p w14:paraId="2776E2AE" w14:textId="557310D8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520" w:type="dxa"/>
          </w:tcPr>
          <w:p w14:paraId="16E30242" w14:textId="2C08E458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toxicity coefficient</w:t>
            </w:r>
          </w:p>
        </w:tc>
        <w:tc>
          <w:tcPr>
            <w:tcW w:w="2970" w:type="dxa"/>
          </w:tcPr>
          <w:p w14:paraId="1DDA57AC" w14:textId="10434001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0.2</m:t>
              </m:r>
            </m:oMath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 xml:space="preserve">-1 </w:t>
            </w:r>
          </w:p>
        </w:tc>
        <w:tc>
          <w:tcPr>
            <w:tcW w:w="1080" w:type="dxa"/>
          </w:tcPr>
          <w:p w14:paraId="5C623614" w14:textId="02AAD851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5010B88A" w14:textId="77777777" w:rsidTr="00E51F0F">
        <w:trPr>
          <w:trHeight w:val="259"/>
          <w:jc w:val="center"/>
        </w:trPr>
        <w:tc>
          <w:tcPr>
            <w:tcW w:w="1075" w:type="dxa"/>
          </w:tcPr>
          <w:p w14:paraId="1F6D73B3" w14:textId="02615EF2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k</w:t>
            </w:r>
          </w:p>
        </w:tc>
        <w:tc>
          <w:tcPr>
            <w:tcW w:w="2520" w:type="dxa"/>
          </w:tcPr>
          <w:p w14:paraId="44FC4E07" w14:textId="215D2E8B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Carrying capacity</w:t>
            </w:r>
          </w:p>
        </w:tc>
        <w:tc>
          <w:tcPr>
            <w:tcW w:w="2970" w:type="dxa"/>
          </w:tcPr>
          <w:p w14:paraId="1E4A3EA2" w14:textId="405841D1" w:rsidR="004B6F78" w:rsidRPr="004B6F78" w:rsidRDefault="004B6F78" w:rsidP="004B6F78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 w:rsidRPr="002553C5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080" w:type="dxa"/>
          </w:tcPr>
          <w:p w14:paraId="21518965" w14:textId="36558810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54A25BFE" w14:textId="77777777" w:rsidTr="00E51F0F">
        <w:trPr>
          <w:trHeight w:val="259"/>
          <w:jc w:val="center"/>
        </w:trPr>
        <w:tc>
          <w:tcPr>
            <w:tcW w:w="1075" w:type="dxa"/>
          </w:tcPr>
          <w:p w14:paraId="2C845F99" w14:textId="55713FB7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520" w:type="dxa"/>
          </w:tcPr>
          <w:p w14:paraId="6D5445C6" w14:textId="261E99DE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decay rate</w:t>
            </w:r>
          </w:p>
        </w:tc>
        <w:tc>
          <w:tcPr>
            <w:tcW w:w="2970" w:type="dxa"/>
          </w:tcPr>
          <w:p w14:paraId="557B1273" w14:textId="7C80F469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6D7FA323" w14:textId="38F0126D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811">
              <w:rPr>
                <w:rFonts w:ascii="Arial" w:hAnsi="Arial" w:cs="Arial"/>
                <w:sz w:val="18"/>
                <w:szCs w:val="18"/>
              </w:rPr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(1, 4)</w:t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03801D4F" w14:textId="77777777" w:rsidTr="00E51F0F">
        <w:trPr>
          <w:trHeight w:val="259"/>
          <w:jc w:val="center"/>
        </w:trPr>
        <w:tc>
          <w:tcPr>
            <w:tcW w:w="1075" w:type="dxa"/>
          </w:tcPr>
          <w:p w14:paraId="73AFF6DD" w14:textId="2820DEE1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520" w:type="dxa"/>
          </w:tcPr>
          <w:p w14:paraId="409E6316" w14:textId="4B9B8232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In-flow rate of oxygen</w:t>
            </w:r>
          </w:p>
        </w:tc>
        <w:tc>
          <w:tcPr>
            <w:tcW w:w="2970" w:type="dxa"/>
          </w:tcPr>
          <w:p w14:paraId="174C24ED" w14:textId="23122554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4.4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5F315B15" w14:textId="3E976AA2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811">
              <w:rPr>
                <w:rFonts w:ascii="Arial" w:hAnsi="Arial" w:cs="Arial"/>
                <w:sz w:val="18"/>
                <w:szCs w:val="18"/>
              </w:rPr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(1, 4)</w:t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72313992" w14:textId="77777777" w:rsidTr="00E51F0F">
        <w:trPr>
          <w:trHeight w:val="518"/>
          <w:jc w:val="center"/>
        </w:trPr>
        <w:tc>
          <w:tcPr>
            <w:tcW w:w="1075" w:type="dxa"/>
          </w:tcPr>
          <w:p w14:paraId="64F109A8" w14:textId="7FFDE128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520" w:type="dxa"/>
          </w:tcPr>
          <w:p w14:paraId="0E0C6772" w14:textId="0F586B7F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Climax oxygen consumption rate</w:t>
            </w:r>
          </w:p>
        </w:tc>
        <w:tc>
          <w:tcPr>
            <w:tcW w:w="2970" w:type="dxa"/>
          </w:tcPr>
          <w:p w14:paraId="0CE94C18" w14:textId="5535A28B" w:rsidR="004B6F78" w:rsidRPr="00BA04B7" w:rsidRDefault="00B0261A" w:rsidP="00BA04B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  <w:r w:rsidR="004B6F78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4B6F78"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  <w:r w:rsidR="004B6F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6F78"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 w:rsidR="004B6F78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6D18F9BA" w14:textId="46938F78" w:rsidR="004B6F78" w:rsidRPr="009A0811" w:rsidRDefault="00B0261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&lt;EndNote&gt;&lt;Cite&gt;&lt;Author&gt;Riedel&lt;/Author&gt;&lt;Year&gt;2013&lt;/Year&gt;&lt;RecNum&gt;22&lt;/RecNum&gt;&lt;DisplayText&gt;(5)&lt;/DisplayText&gt;&lt;record&gt;&lt;rec-number&gt;22&lt;/rec-number&gt;&lt;foreign-keys&gt;&lt;key app="EN" db-id="txf5zxrzyzavfkesr0852950azpfstx2vzwf" timestamp="1627358842" guid="5eb1b8bf-7e7d-4360-bf59-aac94ca12042"&gt;22&lt;/key&gt;&lt;/foreign-keys&gt;&lt;ref-type name="Journal Article"&gt;17&lt;/ref-type&gt;&lt;contributors&gt;&lt;authors&gt;&lt;author&gt;Riedel, Timothy E.&lt;/author&gt;&lt;author&gt;Berelson, William M.&lt;/author&gt;&lt;author&gt;Nealson, Kenneth H.&lt;/author&gt;&lt;author&gt;Finkel, Steven E.&lt;/author&gt;&lt;/authors&gt;&lt;/contributors&gt;&lt;titles&gt;&lt;title&gt;Oxygen Consumption Rates of Bacteria under Nutrient-Limited Conditions&lt;/title&gt;&lt;secondary-title&gt;Applied and Environmental Microbiology&lt;/secondary-title&gt;&lt;/titles&gt;&lt;periodical&gt;&lt;full-title&gt;Applied and Environmental Microbiology&lt;/full-title&gt;&lt;/periodical&gt;&lt;pages&gt;4921-4931&lt;/pages&gt;&lt;volume&gt;79&lt;/volume&gt;&lt;number&gt;16&lt;/number&gt;&lt;dates&gt;&lt;year&gt;2013&lt;/year&gt;&lt;/dates&gt;&lt;urls&gt;&lt;related-urls&gt;&lt;url&gt;https://aem.asm.org/content/aem/79/16/4921.full.pdf&lt;/url&gt;&lt;/related-urls&gt;&lt;/urls&gt;&lt;electronic-resource-num&gt;10.1128/aem.00756-13&lt;/electronic-resource-num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(5)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3C0C86D3" w14:textId="77777777" w:rsidTr="00E51F0F">
        <w:trPr>
          <w:trHeight w:val="259"/>
          <w:jc w:val="center"/>
        </w:trPr>
        <w:tc>
          <w:tcPr>
            <w:tcW w:w="1075" w:type="dxa"/>
          </w:tcPr>
          <w:p w14:paraId="00B8C082" w14:textId="5E96FA86" w:rsidR="004C3551" w:rsidRPr="004C3551" w:rsidRDefault="004C3551" w:rsidP="004C3551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520" w:type="dxa"/>
          </w:tcPr>
          <w:p w14:paraId="4ABDF6A5" w14:textId="6B79B6EA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diffusion rate</w:t>
            </w:r>
          </w:p>
        </w:tc>
        <w:tc>
          <w:tcPr>
            <w:tcW w:w="2970" w:type="dxa"/>
          </w:tcPr>
          <w:p w14:paraId="74ABF35A" w14:textId="4F4F6DDE" w:rsidR="004B6F78" w:rsidRPr="00DA1DD9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0.001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03A3C015" w14:textId="1DCBA3D5" w:rsidR="004B6F78" w:rsidRPr="009A0811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1F57C1D5" w14:textId="77777777" w:rsidTr="00E51F0F">
        <w:trPr>
          <w:trHeight w:val="259"/>
          <w:jc w:val="center"/>
        </w:trPr>
        <w:tc>
          <w:tcPr>
            <w:tcW w:w="1075" w:type="dxa"/>
          </w:tcPr>
          <w:p w14:paraId="479D1209" w14:textId="1A59820F" w:rsidR="004B6F78" w:rsidRPr="004C3551" w:rsidRDefault="004C355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520" w:type="dxa"/>
          </w:tcPr>
          <w:p w14:paraId="6FC9C4C0" w14:textId="14DC4F2E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diffusion rate</w:t>
            </w:r>
          </w:p>
        </w:tc>
        <w:tc>
          <w:tcPr>
            <w:tcW w:w="2970" w:type="dxa"/>
          </w:tcPr>
          <w:p w14:paraId="2A8DDFA7" w14:textId="78C5976F" w:rsidR="004B6F78" w:rsidRPr="00CC704C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0.01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080" w:type="dxa"/>
          </w:tcPr>
          <w:p w14:paraId="1FC9E4B5" w14:textId="0765D005" w:rsidR="004B6F78" w:rsidRPr="009A0811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4B3CC248" w14:textId="77777777" w:rsidTr="00E51F0F">
        <w:trPr>
          <w:trHeight w:val="259"/>
          <w:jc w:val="center"/>
        </w:trPr>
        <w:tc>
          <w:tcPr>
            <w:tcW w:w="1075" w:type="dxa"/>
          </w:tcPr>
          <w:p w14:paraId="04B3C633" w14:textId="0F675D62" w:rsidR="004B6F78" w:rsidRPr="004C3551" w:rsidRDefault="004C355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520" w:type="dxa"/>
          </w:tcPr>
          <w:p w14:paraId="7FC74061" w14:textId="6D069A58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Oxygen diffusion rate</w:t>
            </w:r>
          </w:p>
        </w:tc>
        <w:tc>
          <w:tcPr>
            <w:tcW w:w="2970" w:type="dxa"/>
          </w:tcPr>
          <w:p w14:paraId="19FDCFBD" w14:textId="28448F21" w:rsidR="004B6F78" w:rsidRPr="002553C5" w:rsidRDefault="00E07849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  <w:r w:rsidR="00932B1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2B1B"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 w:rsidR="00CD01C1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 w:rsidR="00CD01C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B27334"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 w:rsidR="00932B1B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39173AEF" w14:textId="6A49A21A" w:rsidR="004B6F78" w:rsidRPr="009A0811" w:rsidRDefault="00BB7853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&lt;EndNote&gt;&lt;Cite&gt;&lt;Author&gt;Cowley&lt;/Author&gt;&lt;Year&gt;2015&lt;/Year&gt;&lt;RecNum&gt;45&lt;/RecNum&gt;&lt;DisplayText&gt;(1)&lt;/DisplayText&gt;&lt;record&gt;&lt;rec-number&gt;45&lt;/rec-number&gt;&lt;foreign-keys&gt;&lt;key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B8AB57C" w14:textId="77777777" w:rsidR="00D91489" w:rsidRDefault="00D91489">
      <w:pPr>
        <w:rPr>
          <w:rFonts w:eastAsiaTheme="minorEastAsia"/>
        </w:rPr>
      </w:pPr>
    </w:p>
    <w:p w14:paraId="706FD9EF" w14:textId="0F51C426" w:rsidR="00B82841" w:rsidRDefault="00B82841" w:rsidP="00851AC4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t xml:space="preserve">Table </w:t>
      </w:r>
      <w:r>
        <w:rPr>
          <w:rFonts w:ascii="Arial" w:hAnsi="Arial" w:cs="Arial"/>
          <w:b/>
          <w:bCs/>
          <w:sz w:val="20"/>
        </w:rPr>
        <w:t>2</w:t>
      </w:r>
      <w:r w:rsidRPr="008257B5">
        <w:rPr>
          <w:rFonts w:ascii="Arial" w:hAnsi="Arial" w:cs="Arial"/>
          <w:b/>
          <w:bCs/>
          <w:sz w:val="20"/>
        </w:rPr>
        <w:t>:</w:t>
      </w:r>
      <w:r w:rsidRPr="008257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Dimensionless pa</w:t>
      </w:r>
      <w:r w:rsidRPr="008257B5">
        <w:rPr>
          <w:rFonts w:ascii="Arial" w:hAnsi="Arial" w:cs="Arial"/>
          <w:sz w:val="20"/>
        </w:rPr>
        <w:t xml:space="preserve">rameter values and </w:t>
      </w:r>
      <w:r w:rsidR="004B1AED">
        <w:rPr>
          <w:rFonts w:ascii="Arial" w:hAnsi="Arial" w:cs="Arial"/>
          <w:sz w:val="20"/>
        </w:rPr>
        <w:t>expressions</w:t>
      </w:r>
    </w:p>
    <w:p w14:paraId="0E088A9B" w14:textId="77777777" w:rsidR="00B82841" w:rsidRPr="008257B5" w:rsidRDefault="00B82841" w:rsidP="00B82841">
      <w:pPr>
        <w:jc w:val="center"/>
        <w:rPr>
          <w:rFonts w:ascii="Arial" w:hAnsi="Arial" w:cs="Arial"/>
          <w:sz w:val="20"/>
        </w:rPr>
      </w:pPr>
    </w:p>
    <w:tbl>
      <w:tblPr>
        <w:tblW w:w="7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610"/>
        <w:gridCol w:w="2880"/>
        <w:gridCol w:w="1260"/>
      </w:tblGrid>
      <w:tr w:rsidR="00B82841" w:rsidRPr="009A0811" w14:paraId="5979FD18" w14:textId="77777777" w:rsidTr="00AD40C2">
        <w:trPr>
          <w:trHeight w:val="259"/>
          <w:jc w:val="center"/>
        </w:trPr>
        <w:tc>
          <w:tcPr>
            <w:tcW w:w="1075" w:type="dxa"/>
          </w:tcPr>
          <w:p w14:paraId="78BA1B9F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610" w:type="dxa"/>
          </w:tcPr>
          <w:p w14:paraId="16C28F43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880" w:type="dxa"/>
          </w:tcPr>
          <w:p w14:paraId="40FEB16A" w14:textId="2BECC70B" w:rsidR="00B82841" w:rsidRPr="002553C5" w:rsidRDefault="00E70E3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Base </w:t>
            </w:r>
            <w:r w:rsidR="00B82841"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60" w:type="dxa"/>
          </w:tcPr>
          <w:p w14:paraId="05E91291" w14:textId="0B1C2337" w:rsidR="00B82841" w:rsidRPr="009A0811" w:rsidRDefault="0090388C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Expression</w:t>
            </w:r>
          </w:p>
        </w:tc>
      </w:tr>
      <w:tr w:rsidR="00B82841" w:rsidRPr="009A0811" w14:paraId="016854AE" w14:textId="77777777" w:rsidTr="00AD40C2">
        <w:trPr>
          <w:trHeight w:val="532"/>
          <w:jc w:val="center"/>
        </w:trPr>
        <w:tc>
          <w:tcPr>
            <w:tcW w:w="1075" w:type="dxa"/>
          </w:tcPr>
          <w:p w14:paraId="37EF794E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610" w:type="dxa"/>
          </w:tcPr>
          <w:p w14:paraId="790D7B47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Maximum possible climax growth rate</w:t>
            </w:r>
          </w:p>
        </w:tc>
        <w:tc>
          <w:tcPr>
            <w:tcW w:w="2880" w:type="dxa"/>
          </w:tcPr>
          <w:p w14:paraId="153F39BF" w14:textId="3253F842" w:rsidR="00B82841" w:rsidRPr="00435332" w:rsidRDefault="00435332" w:rsidP="00E51F0F">
            <w:pPr>
              <w:jc w:val="center"/>
            </w:pPr>
            <w:r w:rsidRPr="0024642B">
              <w:rPr>
                <w:rFonts w:ascii="Arial" w:hAnsi="Arial" w:cs="Arial"/>
                <w:sz w:val="18"/>
                <w:szCs w:val="18"/>
              </w:rPr>
              <w:t>0.0002</w:t>
            </w:r>
          </w:p>
        </w:tc>
        <w:tc>
          <w:tcPr>
            <w:tcW w:w="1260" w:type="dxa"/>
          </w:tcPr>
          <w:p w14:paraId="35971E0B" w14:textId="2D89B9A8" w:rsidR="00B82841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β</m:t>
                </m:r>
              </m:oMath>
            </m:oMathPara>
          </w:p>
        </w:tc>
      </w:tr>
      <w:tr w:rsidR="00B82841" w:rsidRPr="009A0811" w14:paraId="3EFE08CD" w14:textId="77777777" w:rsidTr="00AD40C2">
        <w:trPr>
          <w:trHeight w:val="503"/>
          <w:jc w:val="center"/>
        </w:trPr>
        <w:tc>
          <w:tcPr>
            <w:tcW w:w="1075" w:type="dxa"/>
          </w:tcPr>
          <w:p w14:paraId="1A855208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610" w:type="dxa"/>
          </w:tcPr>
          <w:p w14:paraId="07A8C6F1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 xml:space="preserve">Half-maximum response dose </w:t>
            </w: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Pr="009A0811">
              <w:rPr>
                <w:rFonts w:ascii="Arial" w:hAnsi="Arial" w:cs="Arial"/>
                <w:sz w:val="18"/>
                <w:szCs w:val="18"/>
              </w:rPr>
              <w:t xml:space="preserve"> oxygen</w:t>
            </w:r>
          </w:p>
        </w:tc>
        <w:tc>
          <w:tcPr>
            <w:tcW w:w="2880" w:type="dxa"/>
          </w:tcPr>
          <w:p w14:paraId="70E4B5D8" w14:textId="327EE491" w:rsidR="00B82841" w:rsidRPr="005C53CA" w:rsidRDefault="00851AC4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1121210F" w14:textId="109E7CDA" w:rsidR="00B82841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B82841" w:rsidRPr="009A0811" w14:paraId="4F59E45A" w14:textId="77777777" w:rsidTr="00AD40C2">
        <w:trPr>
          <w:trHeight w:val="377"/>
          <w:jc w:val="center"/>
        </w:trPr>
        <w:tc>
          <w:tcPr>
            <w:tcW w:w="1075" w:type="dxa"/>
          </w:tcPr>
          <w:p w14:paraId="32A47DD6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610" w:type="dxa"/>
          </w:tcPr>
          <w:p w14:paraId="6B7C3AA7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Growth rate slope-factor</w:t>
            </w:r>
          </w:p>
        </w:tc>
        <w:tc>
          <w:tcPr>
            <w:tcW w:w="2880" w:type="dxa"/>
          </w:tcPr>
          <w:p w14:paraId="17E3168D" w14:textId="77777777" w:rsidR="00B82841" w:rsidRPr="002553C5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260" w:type="dxa"/>
          </w:tcPr>
          <w:p w14:paraId="7DE4D8B0" w14:textId="29F02416" w:rsidR="00B82841" w:rsidRPr="009A0811" w:rsidRDefault="00F23E8E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oMath>
            </m:oMathPara>
          </w:p>
        </w:tc>
      </w:tr>
      <w:tr w:rsidR="00B82841" w:rsidRPr="009A0811" w14:paraId="0119C6D3" w14:textId="77777777" w:rsidTr="00AD40C2">
        <w:trPr>
          <w:trHeight w:val="259"/>
          <w:jc w:val="center"/>
        </w:trPr>
        <w:tc>
          <w:tcPr>
            <w:tcW w:w="1075" w:type="dxa"/>
          </w:tcPr>
          <w:p w14:paraId="469A39D2" w14:textId="77777777" w:rsidR="00B82841" w:rsidRPr="00AD6FCB" w:rsidRDefault="00B82841" w:rsidP="00E51F0F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610" w:type="dxa"/>
          </w:tcPr>
          <w:p w14:paraId="25A90110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death rate</w:t>
            </w:r>
          </w:p>
        </w:tc>
        <w:tc>
          <w:tcPr>
            <w:tcW w:w="2880" w:type="dxa"/>
          </w:tcPr>
          <w:p w14:paraId="5F9A7922" w14:textId="2B7C7C0D" w:rsidR="00B82841" w:rsidRPr="002553C5" w:rsidRDefault="0024642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</w:t>
            </w:r>
            <w:r w:rsidR="00435332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435332"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442601A4" w14:textId="295B35EF" w:rsidR="00B82841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</w:tr>
      <w:tr w:rsidR="00B82841" w:rsidRPr="009A0811" w14:paraId="6785ABD3" w14:textId="77777777" w:rsidTr="00AD40C2">
        <w:trPr>
          <w:trHeight w:val="259"/>
          <w:jc w:val="center"/>
        </w:trPr>
        <w:tc>
          <w:tcPr>
            <w:tcW w:w="1075" w:type="dxa"/>
          </w:tcPr>
          <w:p w14:paraId="54ED42C0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610" w:type="dxa"/>
          </w:tcPr>
          <w:p w14:paraId="2D269F23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death rate</w:t>
            </w:r>
          </w:p>
        </w:tc>
        <w:tc>
          <w:tcPr>
            <w:tcW w:w="2880" w:type="dxa"/>
          </w:tcPr>
          <w:p w14:paraId="3DB3C96C" w14:textId="3A1ECB48" w:rsidR="00B82841" w:rsidRPr="002553C5" w:rsidRDefault="0024642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1260" w:type="dxa"/>
          </w:tcPr>
          <w:p w14:paraId="3543078E" w14:textId="26BCDD01" w:rsidR="00B82841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</w:tr>
      <w:tr w:rsidR="00B82841" w:rsidRPr="009A0811" w14:paraId="7AA08AA9" w14:textId="77777777" w:rsidTr="00AD40C2">
        <w:trPr>
          <w:trHeight w:val="259"/>
          <w:jc w:val="center"/>
        </w:trPr>
        <w:tc>
          <w:tcPr>
            <w:tcW w:w="1075" w:type="dxa"/>
          </w:tcPr>
          <w:p w14:paraId="0E1DA44F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610" w:type="dxa"/>
          </w:tcPr>
          <w:p w14:paraId="22351855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toxicity coefficient</w:t>
            </w:r>
          </w:p>
        </w:tc>
        <w:tc>
          <w:tcPr>
            <w:tcW w:w="2880" w:type="dxa"/>
          </w:tcPr>
          <w:p w14:paraId="69F3401B" w14:textId="16D42F3B" w:rsidR="00B82841" w:rsidRPr="00F23E8E" w:rsidRDefault="00F23E8E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2.48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33EF33BC" w14:textId="1AF96AEC" w:rsidR="00B82841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</w:tr>
      <w:tr w:rsidR="00B610E2" w:rsidRPr="009A0811" w14:paraId="38D54C76" w14:textId="77777777" w:rsidTr="00AD40C2">
        <w:trPr>
          <w:trHeight w:val="259"/>
          <w:jc w:val="center"/>
        </w:trPr>
        <w:tc>
          <w:tcPr>
            <w:tcW w:w="1075" w:type="dxa"/>
          </w:tcPr>
          <w:p w14:paraId="7BF46DA7" w14:textId="54FEE15D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610" w:type="dxa"/>
          </w:tcPr>
          <w:p w14:paraId="6B1F8E09" w14:textId="374A3EC5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decay rate</w:t>
            </w:r>
          </w:p>
        </w:tc>
        <w:tc>
          <w:tcPr>
            <w:tcW w:w="2880" w:type="dxa"/>
          </w:tcPr>
          <w:p w14:paraId="3498DE8A" w14:textId="1CAA418D" w:rsidR="00B610E2" w:rsidRPr="004B6F78" w:rsidRDefault="00851AC4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0.3312</w:t>
            </w:r>
          </w:p>
        </w:tc>
        <w:tc>
          <w:tcPr>
            <w:tcW w:w="1260" w:type="dxa"/>
          </w:tcPr>
          <w:p w14:paraId="679E23EE" w14:textId="1D9935F1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μ</m:t>
                </m:r>
              </m:oMath>
            </m:oMathPara>
          </w:p>
        </w:tc>
      </w:tr>
      <w:tr w:rsidR="00B610E2" w:rsidRPr="009A0811" w14:paraId="312040DE" w14:textId="77777777" w:rsidTr="00AD40C2">
        <w:trPr>
          <w:trHeight w:val="60"/>
          <w:jc w:val="center"/>
        </w:trPr>
        <w:tc>
          <w:tcPr>
            <w:tcW w:w="1075" w:type="dxa"/>
          </w:tcPr>
          <w:p w14:paraId="69E30D07" w14:textId="4A4AC576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610" w:type="dxa"/>
          </w:tcPr>
          <w:p w14:paraId="4677AE4B" w14:textId="7E5BE007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In-flow rate of oxygen</w:t>
            </w:r>
          </w:p>
        </w:tc>
        <w:tc>
          <w:tcPr>
            <w:tcW w:w="2880" w:type="dxa"/>
          </w:tcPr>
          <w:p w14:paraId="78664A89" w14:textId="1A0E0D59" w:rsidR="00B610E2" w:rsidRPr="002553C5" w:rsidRDefault="00851AC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0.3312</w:t>
            </w:r>
          </w:p>
        </w:tc>
        <w:tc>
          <w:tcPr>
            <w:tcW w:w="1260" w:type="dxa"/>
          </w:tcPr>
          <w:p w14:paraId="07465B11" w14:textId="0305B286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B610E2" w:rsidRPr="009A0811" w14:paraId="650952D3" w14:textId="77777777" w:rsidTr="00AD40C2">
        <w:trPr>
          <w:trHeight w:val="259"/>
          <w:jc w:val="center"/>
        </w:trPr>
        <w:tc>
          <w:tcPr>
            <w:tcW w:w="1075" w:type="dxa"/>
          </w:tcPr>
          <w:p w14:paraId="3D654623" w14:textId="1BE31CB9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610" w:type="dxa"/>
          </w:tcPr>
          <w:p w14:paraId="71407D1C" w14:textId="6DC44447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Climax oxygen consumption rate</w:t>
            </w:r>
          </w:p>
        </w:tc>
        <w:tc>
          <w:tcPr>
            <w:tcW w:w="2880" w:type="dxa"/>
          </w:tcPr>
          <w:p w14:paraId="520C978D" w14:textId="026AEFAD" w:rsidR="00B610E2" w:rsidRPr="008E36E7" w:rsidRDefault="008E36E7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260" w:type="dxa"/>
          </w:tcPr>
          <w:p w14:paraId="481EEA24" w14:textId="051C71DF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ηk</m:t>
                </m:r>
              </m:oMath>
            </m:oMathPara>
          </w:p>
        </w:tc>
      </w:tr>
      <w:tr w:rsidR="00B610E2" w:rsidRPr="009A0811" w14:paraId="14CEF914" w14:textId="77777777" w:rsidTr="00AD40C2">
        <w:trPr>
          <w:trHeight w:val="233"/>
          <w:jc w:val="center"/>
        </w:trPr>
        <w:tc>
          <w:tcPr>
            <w:tcW w:w="1075" w:type="dxa"/>
          </w:tcPr>
          <w:p w14:paraId="31BB4A23" w14:textId="10AFAA90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610" w:type="dxa"/>
          </w:tcPr>
          <w:p w14:paraId="7917E040" w14:textId="2D388053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diffusion rate</w:t>
            </w:r>
          </w:p>
        </w:tc>
        <w:tc>
          <w:tcPr>
            <w:tcW w:w="2880" w:type="dxa"/>
          </w:tcPr>
          <w:p w14:paraId="2402F8A7" w14:textId="1D801BF8" w:rsidR="00B610E2" w:rsidRPr="00BA04B7" w:rsidRDefault="005674BE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r w:rsidR="00C34EFF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260" w:type="dxa"/>
          </w:tcPr>
          <w:p w14:paraId="2109ECD2" w14:textId="2134DD19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</w:tr>
      <w:tr w:rsidR="00B610E2" w:rsidRPr="009A0811" w14:paraId="329AD4D9" w14:textId="77777777" w:rsidTr="00AD40C2">
        <w:trPr>
          <w:trHeight w:val="259"/>
          <w:jc w:val="center"/>
        </w:trPr>
        <w:tc>
          <w:tcPr>
            <w:tcW w:w="1075" w:type="dxa"/>
          </w:tcPr>
          <w:p w14:paraId="63361E00" w14:textId="0D1856B8" w:rsidR="00B610E2" w:rsidRPr="004C355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610" w:type="dxa"/>
          </w:tcPr>
          <w:p w14:paraId="2E29C682" w14:textId="5F24F386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diffusion rate</w:t>
            </w:r>
          </w:p>
        </w:tc>
        <w:tc>
          <w:tcPr>
            <w:tcW w:w="2880" w:type="dxa"/>
          </w:tcPr>
          <w:p w14:paraId="13B14145" w14:textId="16A7C7C2" w:rsidR="00B610E2" w:rsidRPr="00DA1DD9" w:rsidRDefault="00C34EFF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1260" w:type="dxa"/>
          </w:tcPr>
          <w:p w14:paraId="1221B7F4" w14:textId="6EC418AA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</w:tr>
      <w:tr w:rsidR="00B610E2" w:rsidRPr="009A0811" w14:paraId="517B2089" w14:textId="77777777" w:rsidTr="00AD40C2">
        <w:trPr>
          <w:trHeight w:val="259"/>
          <w:jc w:val="center"/>
        </w:trPr>
        <w:tc>
          <w:tcPr>
            <w:tcW w:w="1075" w:type="dxa"/>
          </w:tcPr>
          <w:p w14:paraId="78E44E10" w14:textId="5DD5C356" w:rsidR="00B610E2" w:rsidRPr="004C355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610" w:type="dxa"/>
          </w:tcPr>
          <w:p w14:paraId="6993B5B8" w14:textId="3FC08140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Oxygen diffusion rate</w:t>
            </w:r>
          </w:p>
        </w:tc>
        <w:tc>
          <w:tcPr>
            <w:tcW w:w="2880" w:type="dxa"/>
          </w:tcPr>
          <w:p w14:paraId="62AF4210" w14:textId="3E698D57" w:rsidR="00B610E2" w:rsidRPr="00CC704C" w:rsidRDefault="001E3B78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  <w:r w:rsidR="00E31B16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E31B16">
              <w:rPr>
                <w:rFonts w:ascii="Arial" w:hAnsi="Arial" w:cs="Arial"/>
                <w:sz w:val="18"/>
                <w:szCs w:val="18"/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78864111" w14:textId="7634EC75" w:rsidR="00B610E2" w:rsidRPr="009A0811" w:rsidRDefault="009B762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</w:tr>
    </w:tbl>
    <w:p w14:paraId="12B2CD04" w14:textId="77777777" w:rsidR="00B82841" w:rsidRDefault="00B82841">
      <w:pPr>
        <w:rPr>
          <w:rFonts w:eastAsiaTheme="minorEastAsia"/>
        </w:rPr>
      </w:pPr>
    </w:p>
    <w:p w14:paraId="542055FF" w14:textId="26347FA0" w:rsidR="00D91489" w:rsidRPr="002A4E39" w:rsidRDefault="0011643B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Simulations (1D):</w:t>
      </w:r>
      <w:r w:rsidR="00EE5B22">
        <w:rPr>
          <w:rFonts w:eastAsiaTheme="minorEastAsia"/>
        </w:rPr>
        <w:t xml:space="preserve"> We solved t</w:t>
      </w:r>
      <w:r w:rsidR="00B31712">
        <w:rPr>
          <w:rFonts w:eastAsiaTheme="minorEastAsia"/>
        </w:rPr>
        <w:t xml:space="preserve">he system of PDEs </w:t>
      </w:r>
      <w:r w:rsidR="00155C6A">
        <w:rPr>
          <w:rFonts w:eastAsiaTheme="minorEastAsia"/>
        </w:rPr>
        <w:t xml:space="preserve">in one spatial dimension using the </w:t>
      </w:r>
      <w:r w:rsidR="00D539B4">
        <w:rPr>
          <w:rFonts w:eastAsiaTheme="minorEastAsia"/>
        </w:rPr>
        <w:t xml:space="preserve">Periodic Reaction-Diffusion MATLAB </w:t>
      </w:r>
      <w:r w:rsidR="00A15350">
        <w:rPr>
          <w:rFonts w:eastAsiaTheme="minorEastAsia"/>
        </w:rPr>
        <w:t>program</w:t>
      </w:r>
      <w:r w:rsidR="00B2524A">
        <w:rPr>
          <w:rFonts w:eastAsiaTheme="minorEastAsia"/>
        </w:rPr>
        <w:t xml:space="preserve"> </w:t>
      </w:r>
      <w:r w:rsidR="00B2524A">
        <w:rPr>
          <w:rFonts w:eastAsiaTheme="minorEastAsia"/>
        </w:rPr>
        <w:fldChar w:fldCharType="begin"/>
      </w:r>
      <w:r w:rsidR="00B2524A">
        <w:rPr>
          <w:rFonts w:eastAsiaTheme="minorEastAsia"/>
        </w:rPr>
        <w:instrText xml:space="preserve"> ADDIN EN.CITE &lt;EndNote&gt;&lt;Cite&gt;&lt;Author&gt;Albert&lt;/Author&gt;&lt;Year&gt;2022&lt;/Year&gt;&lt;RecNum&gt;106&lt;/RecNum&gt;&lt;DisplayText&gt;(6)&lt;/DisplayText&gt;&lt;record&gt;&lt;rec-number&gt;106&lt;/rec-number&gt;&lt;foreign-keys&gt;&lt;key app="EN" db-id="txf5zxrzyzavfkesr0852950azpfstx2vzwf" timestamp="1657676990"&gt;106&lt;/key&gt;&lt;/foreign-keys&gt;&lt;ref-type name="Computer Program"&gt;9&lt;/ref-type&gt;&lt;contributors&gt;&lt;authors&gt;&lt;author&gt;Albert&lt;/author&gt;&lt;/authors&gt;&lt;/contributors&gt;&lt;titles&gt;&lt;title&gt;Periodic Reaction-Diffusion PDE solver&lt;/title&gt;&lt;secondary-title&gt;MATLAB Central File Exchange&lt;/secondary-title&gt;&lt;/titles&gt;&lt;dates&gt;&lt;year&gt;2022&lt;/year&gt;&lt;pub-dates&gt;&lt;date&gt;July, 5, 2022&lt;/date&gt;&lt;/pub-dates&gt;&lt;/dates&gt;&lt;urls&gt;&lt;related-urls&gt;&lt;url&gt;https://www.mathworks.com/matlabcentral/fileexchange/45955-periodic-reaction-diffusion-pde-solver&lt;/url&gt;&lt;/related-urls&gt;&lt;/urls&gt;&lt;/record&gt;&lt;/Cite&gt;&lt;/EndNote&gt;</w:instrText>
      </w:r>
      <w:r w:rsidR="00B2524A">
        <w:rPr>
          <w:rFonts w:eastAsiaTheme="minorEastAsia"/>
        </w:rPr>
        <w:fldChar w:fldCharType="separate"/>
      </w:r>
      <w:r w:rsidR="00B2524A">
        <w:rPr>
          <w:rFonts w:eastAsiaTheme="minorEastAsia"/>
          <w:noProof/>
        </w:rPr>
        <w:t>(6)</w:t>
      </w:r>
      <w:r w:rsidR="00B2524A">
        <w:rPr>
          <w:rFonts w:eastAsiaTheme="minorEastAsia"/>
        </w:rPr>
        <w:fldChar w:fldCharType="end"/>
      </w:r>
      <w:r w:rsidR="00B2524A">
        <w:rPr>
          <w:rFonts w:eastAsiaTheme="minorEastAsia"/>
        </w:rPr>
        <w:t>.</w:t>
      </w:r>
      <w:r w:rsidR="00F97FB5">
        <w:rPr>
          <w:rFonts w:eastAsiaTheme="minorEastAsia"/>
        </w:rPr>
        <w:t xml:space="preserve"> Figure 1 shows a simulation of the system as heatmaps with time along the </w:t>
      </w:r>
      <w:r w:rsidR="00B0787A">
        <w:rPr>
          <w:rFonts w:eastAsiaTheme="minorEastAsia"/>
        </w:rPr>
        <w:t>horizontal</w:t>
      </w:r>
      <w:r w:rsidR="00F97FB5">
        <w:rPr>
          <w:rFonts w:eastAsiaTheme="minorEastAsia"/>
        </w:rPr>
        <w:t xml:space="preserve"> axis and </w:t>
      </w:r>
      <w:r w:rsidR="005428FE">
        <w:rPr>
          <w:rFonts w:eastAsiaTheme="minorEastAsia"/>
        </w:rPr>
        <w:t xml:space="preserve">space </w:t>
      </w:r>
      <w:r w:rsidR="00F97FB5">
        <w:rPr>
          <w:rFonts w:eastAsiaTheme="minorEastAsia"/>
        </w:rPr>
        <w:t xml:space="preserve">on the </w:t>
      </w:r>
      <w:r w:rsidR="00B0787A">
        <w:rPr>
          <w:rFonts w:eastAsiaTheme="minorEastAsia"/>
        </w:rPr>
        <w:t>vertical</w:t>
      </w:r>
      <w:r w:rsidR="005428FE">
        <w:rPr>
          <w:rFonts w:eastAsiaTheme="minorEastAsia"/>
        </w:rPr>
        <w:t>, parameter values for this simulation are shown in Table 3.</w:t>
      </w:r>
      <w:r w:rsidR="00A666E1">
        <w:rPr>
          <w:rFonts w:eastAsiaTheme="minorEastAsia"/>
        </w:rPr>
        <w:t xml:space="preserve"> </w:t>
      </w:r>
      <w:r w:rsidR="004C1DA2">
        <w:rPr>
          <w:rFonts w:eastAsiaTheme="minorEastAsia"/>
        </w:rPr>
        <w:t xml:space="preserve">We used gaussian functions as the initial conditions for </w:t>
      </w:r>
      <w:r w:rsidR="004C1DA2">
        <w:rPr>
          <w:rFonts w:eastAsiaTheme="minorEastAsia"/>
          <w:i/>
          <w:iCs/>
        </w:rPr>
        <w:t>c</w:t>
      </w:r>
      <w:r w:rsidR="004C1DA2">
        <w:rPr>
          <w:rFonts w:eastAsiaTheme="minorEastAsia"/>
        </w:rPr>
        <w:t xml:space="preserve"> and </w:t>
      </w:r>
      <w:r w:rsidR="004C1DA2">
        <w:rPr>
          <w:rFonts w:eastAsiaTheme="minorEastAsia"/>
          <w:i/>
          <w:iCs/>
        </w:rPr>
        <w:t>f</w:t>
      </w:r>
      <w:r w:rsidR="00A0774B">
        <w:rPr>
          <w:rFonts w:eastAsiaTheme="minorEastAsia"/>
        </w:rPr>
        <w:t xml:space="preserve">, and the constant value </w:t>
      </w:r>
      <m:oMath>
        <m:r>
          <w:rPr>
            <w:rFonts w:ascii="Cambria Math" w:eastAsiaTheme="minorEastAsia" w:hAnsi="Cambria Math"/>
          </w:rPr>
          <m:t>λ/μ</m:t>
        </m:r>
      </m:oMath>
      <w:r w:rsidR="00A0774B">
        <w:rPr>
          <w:rFonts w:eastAsiaTheme="minorEastAsia"/>
        </w:rPr>
        <w:t xml:space="preserve"> for oxygen.</w:t>
      </w:r>
      <w:r w:rsidR="00FD7E52">
        <w:rPr>
          <w:rFonts w:eastAsiaTheme="minorEastAsia"/>
        </w:rPr>
        <w:t xml:space="preserve"> The climax community reached steady-state relatively quickly</w:t>
      </w:r>
      <w:r w:rsidR="00EF34FE">
        <w:rPr>
          <w:rFonts w:eastAsiaTheme="minorEastAsia"/>
        </w:rPr>
        <w:t xml:space="preserve"> and drew down oxygen </w:t>
      </w:r>
      <w:r w:rsidR="009A2B9E">
        <w:rPr>
          <w:rFonts w:eastAsiaTheme="minorEastAsia"/>
        </w:rPr>
        <w:t xml:space="preserve">where it was highest in density. The attack community </w:t>
      </w:r>
      <w:r w:rsidR="00AD4FD0">
        <w:rPr>
          <w:rFonts w:eastAsiaTheme="minorEastAsia"/>
        </w:rPr>
        <w:t>was most prominent slightly off</w:t>
      </w:r>
      <w:r w:rsidR="002105DB">
        <w:rPr>
          <w:rFonts w:eastAsiaTheme="minorEastAsia"/>
        </w:rPr>
        <w:t xml:space="preserve"> of the climax peak where oxygen was lowest. </w:t>
      </w:r>
      <w:r w:rsidR="002A4E39">
        <w:rPr>
          <w:rFonts w:eastAsiaTheme="minorEastAsia"/>
        </w:rPr>
        <w:t xml:space="preserve">The initial gaussian function for </w:t>
      </w:r>
      <w:r w:rsidR="002A4E39">
        <w:rPr>
          <w:rFonts w:eastAsiaTheme="minorEastAsia"/>
          <w:i/>
          <w:iCs/>
        </w:rPr>
        <w:t>f</w:t>
      </w:r>
      <w:r w:rsidR="002A4E39">
        <w:rPr>
          <w:rFonts w:eastAsiaTheme="minorEastAsia"/>
        </w:rPr>
        <w:t xml:space="preserve"> was centered at </w:t>
      </w:r>
      <m:oMath>
        <m:r>
          <w:rPr>
            <w:rFonts w:ascii="Cambria Math" w:eastAsiaTheme="minorEastAsia" w:hAnsi="Cambria Math"/>
          </w:rPr>
          <m:t>x=0.6</m:t>
        </m:r>
      </m:oMath>
      <w:r w:rsidR="00E0274A">
        <w:rPr>
          <w:rFonts w:eastAsiaTheme="minorEastAsia"/>
        </w:rPr>
        <w:t xml:space="preserve"> versus the climax center at </w:t>
      </w:r>
      <m:oMath>
        <m:r>
          <w:rPr>
            <w:rFonts w:ascii="Cambria Math" w:eastAsiaTheme="minorEastAsia" w:hAnsi="Cambria Math"/>
          </w:rPr>
          <m:t>x=0.4</m:t>
        </m:r>
      </m:oMath>
      <w:r w:rsidR="00E0274A">
        <w:rPr>
          <w:rFonts w:eastAsiaTheme="minorEastAsia"/>
        </w:rPr>
        <w:t xml:space="preserve">, but </w:t>
      </w:r>
      <w:r w:rsidR="00E55BC7">
        <w:rPr>
          <w:rFonts w:eastAsiaTheme="minorEastAsia"/>
        </w:rPr>
        <w:t xml:space="preserve">over time the attack community was drawn to the lower oxygen </w:t>
      </w:r>
      <w:r w:rsidR="00432321">
        <w:rPr>
          <w:rFonts w:eastAsiaTheme="minorEastAsia"/>
        </w:rPr>
        <w:t>environment</w:t>
      </w:r>
      <w:r w:rsidR="00E55BC7">
        <w:rPr>
          <w:rFonts w:eastAsiaTheme="minorEastAsia"/>
        </w:rPr>
        <w:t xml:space="preserve"> created by </w:t>
      </w:r>
      <w:r w:rsidR="009F2975">
        <w:rPr>
          <w:rFonts w:eastAsiaTheme="minorEastAsia"/>
        </w:rPr>
        <w:t xml:space="preserve">the climax. </w:t>
      </w:r>
    </w:p>
    <w:p w14:paraId="10B4C7F0" w14:textId="77777777" w:rsidR="00D539B4" w:rsidRDefault="00D539B4">
      <w:pPr>
        <w:rPr>
          <w:rFonts w:eastAsiaTheme="minorEastAsia"/>
        </w:rPr>
      </w:pPr>
    </w:p>
    <w:p w14:paraId="448939CF" w14:textId="77777777" w:rsidR="00D539B4" w:rsidRPr="00EE5B22" w:rsidRDefault="00D539B4">
      <w:pPr>
        <w:rPr>
          <w:rFonts w:eastAsiaTheme="minorEastAsia"/>
        </w:rPr>
      </w:pPr>
    </w:p>
    <w:p w14:paraId="3D53E4A1" w14:textId="3AB783A8" w:rsidR="004668F4" w:rsidRDefault="004668F4" w:rsidP="004668F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Figure</w:t>
      </w:r>
      <w:r w:rsidRPr="008257B5">
        <w:rPr>
          <w:rFonts w:ascii="Arial" w:hAnsi="Arial" w:cs="Arial"/>
          <w:b/>
          <w:bCs/>
          <w:sz w:val="20"/>
        </w:rPr>
        <w:t xml:space="preserve"> 1:</w:t>
      </w:r>
      <w:r w:rsidRPr="008257B5">
        <w:rPr>
          <w:rFonts w:ascii="Arial" w:hAnsi="Arial" w:cs="Arial"/>
          <w:sz w:val="20"/>
        </w:rPr>
        <w:t xml:space="preserve"> </w:t>
      </w:r>
      <w:r w:rsidR="00954014">
        <w:rPr>
          <w:rFonts w:ascii="Arial" w:hAnsi="Arial" w:cs="Arial"/>
          <w:sz w:val="20"/>
        </w:rPr>
        <w:t xml:space="preserve">PDE system solved in one spatial </w:t>
      </w:r>
      <w:r w:rsidR="00585983">
        <w:rPr>
          <w:rFonts w:ascii="Arial" w:hAnsi="Arial" w:cs="Arial"/>
          <w:sz w:val="20"/>
        </w:rPr>
        <w:t>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014" w14:paraId="6C8D4C06" w14:textId="77777777" w:rsidTr="00954014">
        <w:tc>
          <w:tcPr>
            <w:tcW w:w="4675" w:type="dxa"/>
          </w:tcPr>
          <w:p w14:paraId="7B9E5EC6" w14:textId="6F3CF8CD" w:rsidR="00954014" w:rsidRDefault="00585983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585983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121B627" wp14:editId="1033F918">
                  <wp:extent cx="27432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A6D6DB" w14:textId="51BF88B4" w:rsidR="00954014" w:rsidRDefault="001F2022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1F2022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BEC5262" wp14:editId="3D0C6D6A">
                  <wp:extent cx="2752344" cy="22860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4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014" w14:paraId="0984EADA" w14:textId="77777777" w:rsidTr="00E70E3A">
        <w:trPr>
          <w:trHeight w:val="3707"/>
        </w:trPr>
        <w:tc>
          <w:tcPr>
            <w:tcW w:w="4675" w:type="dxa"/>
          </w:tcPr>
          <w:p w14:paraId="03AA726D" w14:textId="27D3E06B" w:rsidR="00954014" w:rsidRDefault="00A3564F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A3564F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65542DD" wp14:editId="4D687769">
                  <wp:extent cx="2752344" cy="2286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4" cy="22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F476F8" w14:textId="47091799" w:rsidR="00954014" w:rsidRDefault="00A3564F" w:rsidP="00A35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Figure 1: </w:t>
            </w:r>
            <w:r w:rsidR="009F2975">
              <w:rPr>
                <w:rFonts w:ascii="Arial" w:hAnsi="Arial" w:cs="Arial"/>
                <w:sz w:val="20"/>
              </w:rPr>
              <w:t xml:space="preserve">Heatmaps of the climax </w:t>
            </w:r>
            <w:r w:rsidR="00572B00">
              <w:rPr>
                <w:rFonts w:ascii="Arial" w:hAnsi="Arial" w:cs="Arial"/>
                <w:sz w:val="20"/>
              </w:rPr>
              <w:t xml:space="preserve">community </w:t>
            </w:r>
            <w:r w:rsidR="009F2975">
              <w:rPr>
                <w:rFonts w:ascii="Arial" w:hAnsi="Arial" w:cs="Arial"/>
                <w:sz w:val="20"/>
              </w:rPr>
              <w:t xml:space="preserve">(top-left), attack </w:t>
            </w:r>
            <w:r w:rsidR="00572B00">
              <w:rPr>
                <w:rFonts w:ascii="Arial" w:hAnsi="Arial" w:cs="Arial"/>
                <w:sz w:val="20"/>
              </w:rPr>
              <w:t xml:space="preserve">community </w:t>
            </w:r>
            <w:r w:rsidR="009F2975">
              <w:rPr>
                <w:rFonts w:ascii="Arial" w:hAnsi="Arial" w:cs="Arial"/>
                <w:sz w:val="20"/>
              </w:rPr>
              <w:t>(top-right)</w:t>
            </w:r>
            <w:r w:rsidR="00572B00">
              <w:rPr>
                <w:rFonts w:ascii="Arial" w:hAnsi="Arial" w:cs="Arial"/>
                <w:sz w:val="20"/>
              </w:rPr>
              <w:t xml:space="preserve">, and oxygen (bottom-left). Time </w:t>
            </w:r>
            <w:r w:rsidR="00B0787A">
              <w:rPr>
                <w:rFonts w:ascii="Arial" w:hAnsi="Arial" w:cs="Arial"/>
                <w:sz w:val="20"/>
              </w:rPr>
              <w:t xml:space="preserve">is located on the horizontal axis of each figure, and the spatial domain </w:t>
            </w:r>
            <w:r w:rsidR="00C52E04">
              <w:rPr>
                <w:rFonts w:ascii="Arial" w:hAnsi="Arial" w:cs="Arial"/>
                <w:sz w:val="20"/>
              </w:rPr>
              <w:t>a</w:t>
            </w:r>
            <w:r w:rsidR="00B0787A">
              <w:rPr>
                <w:rFonts w:ascii="Arial" w:hAnsi="Arial" w:cs="Arial"/>
                <w:sz w:val="20"/>
              </w:rPr>
              <w:t xml:space="preserve">long the vertical. </w:t>
            </w:r>
            <w:r w:rsidR="004C19E9">
              <w:rPr>
                <w:rFonts w:ascii="Arial" w:hAnsi="Arial" w:cs="Arial"/>
                <w:sz w:val="20"/>
              </w:rPr>
              <w:t xml:space="preserve">The two bacterial communities were initial distributed according to gaussian functions, oxygen </w:t>
            </w:r>
            <w:r w:rsidR="00216876">
              <w:rPr>
                <w:rFonts w:ascii="Arial" w:hAnsi="Arial" w:cs="Arial"/>
                <w:sz w:val="20"/>
              </w:rPr>
              <w:t xml:space="preserve">was distributed at the constant value </w:t>
            </w:r>
            <m:oMath>
              <m:r>
                <w:rPr>
                  <w:rFonts w:ascii="Cambria Math" w:hAnsi="Cambria Math" w:cs="Arial"/>
                  <w:sz w:val="20"/>
                </w:rPr>
                <m:t>λ/μ</m:t>
              </m:r>
            </m:oMath>
            <w:r w:rsidR="00216876">
              <w:rPr>
                <w:rFonts w:ascii="Arial" w:eastAsiaTheme="minorEastAsia" w:hAnsi="Arial" w:cs="Arial"/>
                <w:sz w:val="20"/>
              </w:rPr>
              <w:t xml:space="preserve">. </w:t>
            </w:r>
            <w:r w:rsidR="00DF61DF">
              <w:rPr>
                <w:rFonts w:ascii="Arial" w:eastAsiaTheme="minorEastAsia" w:hAnsi="Arial" w:cs="Arial"/>
                <w:sz w:val="20"/>
              </w:rPr>
              <w:t>Periodic boundary conditions are located at ends of the domain, so tha</w:t>
            </w:r>
            <w:r w:rsidR="00591B31">
              <w:rPr>
                <w:rFonts w:ascii="Arial" w:eastAsiaTheme="minorEastAsia" w:hAnsi="Arial" w:cs="Arial"/>
                <w:sz w:val="20"/>
              </w:rPr>
              <w:t>t</w:t>
            </w:r>
            <w:r w:rsidR="00DF61DF">
              <w:rPr>
                <w:rFonts w:ascii="Arial" w:eastAsiaTheme="minorEastAsia" w:hAnsi="Arial" w:cs="Arial"/>
                <w:sz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=c(1,t)</m:t>
              </m:r>
            </m:oMath>
            <w:r w:rsidR="00591B31">
              <w:rPr>
                <w:rFonts w:ascii="Arial" w:eastAsiaTheme="minorEastAsia" w:hAnsi="Arial" w:cs="Arial"/>
                <w:sz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=f(1,t)</m:t>
              </m:r>
            </m:oMath>
            <w:r w:rsidR="007E282E">
              <w:rPr>
                <w:rFonts w:ascii="Arial" w:eastAsiaTheme="minorEastAsia" w:hAnsi="Arial" w:cs="Arial"/>
                <w:sz w:val="20"/>
              </w:rPr>
              <w:t xml:space="preserve">, and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=w(1,t)</m:t>
              </m:r>
            </m:oMath>
            <w:r w:rsidR="007E282E">
              <w:rPr>
                <w:rFonts w:ascii="Arial" w:eastAsiaTheme="minorEastAsia" w:hAnsi="Arial" w:cs="Arial"/>
                <w:sz w:val="20"/>
              </w:rPr>
              <w:t>.</w:t>
            </w:r>
          </w:p>
        </w:tc>
      </w:tr>
    </w:tbl>
    <w:p w14:paraId="71E15E9D" w14:textId="77777777" w:rsidR="00954014" w:rsidRDefault="00954014" w:rsidP="004668F4">
      <w:pPr>
        <w:jc w:val="center"/>
        <w:rPr>
          <w:rFonts w:ascii="Arial" w:hAnsi="Arial" w:cs="Arial"/>
          <w:sz w:val="20"/>
        </w:rPr>
      </w:pPr>
    </w:p>
    <w:p w14:paraId="3779807A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53825107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3522CB82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1DBC9773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23939612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0CF15F5F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314A2384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55C525C9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1E6BA619" w14:textId="04413CC6" w:rsidR="005428FE" w:rsidRPr="008257B5" w:rsidRDefault="005428FE" w:rsidP="00B0787A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lastRenderedPageBreak/>
        <w:t xml:space="preserve">Table </w:t>
      </w:r>
      <w:r>
        <w:rPr>
          <w:rFonts w:ascii="Arial" w:hAnsi="Arial" w:cs="Arial"/>
          <w:b/>
          <w:bCs/>
          <w:sz w:val="20"/>
        </w:rPr>
        <w:t>3</w:t>
      </w:r>
      <w:r w:rsidRPr="008257B5">
        <w:rPr>
          <w:rFonts w:ascii="Arial" w:hAnsi="Arial" w:cs="Arial"/>
          <w:b/>
          <w:bCs/>
          <w:sz w:val="20"/>
        </w:rPr>
        <w:t>:</w:t>
      </w:r>
      <w:r w:rsidRPr="008257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Parameters values </w:t>
      </w:r>
      <w:r w:rsidR="00EB54C7">
        <w:rPr>
          <w:rFonts w:ascii="Arial" w:hAnsi="Arial" w:cs="Arial"/>
          <w:sz w:val="20"/>
        </w:rPr>
        <w:t>used for simulation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250"/>
        <w:gridCol w:w="2435"/>
        <w:gridCol w:w="2340"/>
      </w:tblGrid>
      <w:tr w:rsidR="00177200" w:rsidRPr="009A0811" w14:paraId="60548D38" w14:textId="7DD4C095" w:rsidTr="00DA5759">
        <w:trPr>
          <w:trHeight w:val="259"/>
          <w:jc w:val="center"/>
        </w:trPr>
        <w:tc>
          <w:tcPr>
            <w:tcW w:w="1975" w:type="dxa"/>
          </w:tcPr>
          <w:p w14:paraId="22CFC14F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250" w:type="dxa"/>
          </w:tcPr>
          <w:p w14:paraId="5246AF35" w14:textId="5A0B8B92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435" w:type="dxa"/>
          </w:tcPr>
          <w:p w14:paraId="17B264A9" w14:textId="4D6575DE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340" w:type="dxa"/>
          </w:tcPr>
          <w:p w14:paraId="65ED11EE" w14:textId="4867B4EB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177200" w:rsidRPr="009A0811" w14:paraId="6E5FE7C4" w14:textId="4E7C6CA9" w:rsidTr="00DA5759">
        <w:trPr>
          <w:trHeight w:val="532"/>
          <w:jc w:val="center"/>
        </w:trPr>
        <w:tc>
          <w:tcPr>
            <w:tcW w:w="1975" w:type="dxa"/>
          </w:tcPr>
          <w:p w14:paraId="26BA8DAA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250" w:type="dxa"/>
          </w:tcPr>
          <w:p w14:paraId="79CEEAF9" w14:textId="615470B3" w:rsidR="00177200" w:rsidRPr="00435332" w:rsidRDefault="00177200" w:rsidP="00177200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2435" w:type="dxa"/>
          </w:tcPr>
          <w:p w14:paraId="1A65C625" w14:textId="4CBD8D7A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340" w:type="dxa"/>
          </w:tcPr>
          <w:p w14:paraId="16617F91" w14:textId="1EE96E45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0.01312</w:t>
            </w:r>
          </w:p>
        </w:tc>
      </w:tr>
      <w:tr w:rsidR="00177200" w:rsidRPr="009A0811" w14:paraId="41A6178B" w14:textId="43948632" w:rsidTr="00DA5759">
        <w:trPr>
          <w:trHeight w:val="503"/>
          <w:jc w:val="center"/>
        </w:trPr>
        <w:tc>
          <w:tcPr>
            <w:tcW w:w="1975" w:type="dxa"/>
          </w:tcPr>
          <w:p w14:paraId="704B3772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250" w:type="dxa"/>
          </w:tcPr>
          <w:p w14:paraId="26E7DA03" w14:textId="1F3F2C6B" w:rsidR="00177200" w:rsidRPr="005C53CA" w:rsidRDefault="00A666E1" w:rsidP="0017720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177200">
              <w:rPr>
                <w:rFonts w:ascii="Arial" w:hAnsi="Arial" w:cs="Arial"/>
                <w:sz w:val="18"/>
                <w:szCs w:val="18"/>
              </w:rPr>
              <w:t>.06</w:t>
            </w:r>
          </w:p>
        </w:tc>
        <w:tc>
          <w:tcPr>
            <w:tcW w:w="2435" w:type="dxa"/>
          </w:tcPr>
          <w:p w14:paraId="67C15702" w14:textId="760B2999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340" w:type="dxa"/>
          </w:tcPr>
          <w:p w14:paraId="33ED10A5" w14:textId="2547C466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0.01312</w:t>
            </w:r>
          </w:p>
        </w:tc>
      </w:tr>
      <w:tr w:rsidR="00177200" w:rsidRPr="009A0811" w14:paraId="6B17CDB2" w14:textId="59A69E69" w:rsidTr="00DA5759">
        <w:trPr>
          <w:trHeight w:val="377"/>
          <w:jc w:val="center"/>
        </w:trPr>
        <w:tc>
          <w:tcPr>
            <w:tcW w:w="1975" w:type="dxa"/>
          </w:tcPr>
          <w:p w14:paraId="1BE216E6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250" w:type="dxa"/>
          </w:tcPr>
          <w:p w14:paraId="38253D9C" w14:textId="39A77312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A666E1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5" w:type="dxa"/>
          </w:tcPr>
          <w:p w14:paraId="0C73598F" w14:textId="4D465399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340" w:type="dxa"/>
          </w:tcPr>
          <w:p w14:paraId="681812E9" w14:textId="1E01E68E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1.54</w:t>
            </w:r>
          </w:p>
        </w:tc>
      </w:tr>
      <w:tr w:rsidR="00177200" w:rsidRPr="009A0811" w14:paraId="6BF395A9" w14:textId="0D6DE5A6" w:rsidTr="00DA5759">
        <w:trPr>
          <w:trHeight w:val="259"/>
          <w:jc w:val="center"/>
        </w:trPr>
        <w:tc>
          <w:tcPr>
            <w:tcW w:w="1975" w:type="dxa"/>
          </w:tcPr>
          <w:p w14:paraId="0B3B0FB1" w14:textId="77777777" w:rsidR="00177200" w:rsidRPr="00AD6FCB" w:rsidRDefault="00177200" w:rsidP="00177200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250" w:type="dxa"/>
          </w:tcPr>
          <w:p w14:paraId="67749E69" w14:textId="4EADA40B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435" w:type="dxa"/>
          </w:tcPr>
          <w:p w14:paraId="04219DDA" w14:textId="49F6A47C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340" w:type="dxa"/>
          </w:tcPr>
          <w:p w14:paraId="4C0FBA38" w14:textId="16110D27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-8</w:t>
            </w:r>
          </w:p>
        </w:tc>
      </w:tr>
      <w:tr w:rsidR="00177200" w:rsidRPr="009A0811" w14:paraId="54BC044A" w14:textId="2279235A" w:rsidTr="00DA5759">
        <w:trPr>
          <w:trHeight w:val="259"/>
          <w:jc w:val="center"/>
        </w:trPr>
        <w:tc>
          <w:tcPr>
            <w:tcW w:w="1975" w:type="dxa"/>
          </w:tcPr>
          <w:p w14:paraId="7AC15A85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250" w:type="dxa"/>
          </w:tcPr>
          <w:p w14:paraId="1E3FFC00" w14:textId="26F96D2D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435" w:type="dxa"/>
          </w:tcPr>
          <w:p w14:paraId="5F69F093" w14:textId="27325E6C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340" w:type="dxa"/>
          </w:tcPr>
          <w:p w14:paraId="1C4DFD34" w14:textId="525D1320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-4</w:t>
            </w:r>
          </w:p>
        </w:tc>
      </w:tr>
      <w:tr w:rsidR="00177200" w:rsidRPr="009A0811" w14:paraId="26C4B8AA" w14:textId="23353B26" w:rsidTr="00DA5759">
        <w:trPr>
          <w:trHeight w:val="259"/>
          <w:jc w:val="center"/>
        </w:trPr>
        <w:tc>
          <w:tcPr>
            <w:tcW w:w="1975" w:type="dxa"/>
          </w:tcPr>
          <w:p w14:paraId="4BFD76C7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250" w:type="dxa"/>
          </w:tcPr>
          <w:p w14:paraId="2675E6C8" w14:textId="7D57D851" w:rsidR="00177200" w:rsidRPr="00F23E8E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4.48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2435" w:type="dxa"/>
          </w:tcPr>
          <w:p w14:paraId="4B0CD1D9" w14:textId="57B38DD0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340" w:type="dxa"/>
          </w:tcPr>
          <w:p w14:paraId="4C2AF3FA" w14:textId="1E544094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-3</w:t>
            </w:r>
          </w:p>
        </w:tc>
      </w:tr>
    </w:tbl>
    <w:p w14:paraId="1DEC2595" w14:textId="22BE6C2B" w:rsidR="004668F4" w:rsidRDefault="004668F4">
      <w:pPr>
        <w:rPr>
          <w:rFonts w:eastAsiaTheme="minorEastAsia"/>
          <w:b/>
          <w:bCs/>
        </w:rPr>
      </w:pPr>
    </w:p>
    <w:p w14:paraId="1EB7F4E8" w14:textId="77777777" w:rsidR="004668F4" w:rsidRDefault="004668F4">
      <w:pPr>
        <w:rPr>
          <w:rFonts w:eastAsiaTheme="minorEastAsia"/>
          <w:b/>
          <w:bCs/>
        </w:rPr>
      </w:pPr>
    </w:p>
    <w:p w14:paraId="05BDB870" w14:textId="77777777" w:rsidR="004668F4" w:rsidRDefault="004668F4">
      <w:pPr>
        <w:rPr>
          <w:rFonts w:eastAsiaTheme="minorEastAsia"/>
          <w:b/>
          <w:bCs/>
        </w:rPr>
      </w:pPr>
    </w:p>
    <w:p w14:paraId="31409272" w14:textId="77777777" w:rsidR="004668F4" w:rsidRDefault="004668F4">
      <w:pPr>
        <w:rPr>
          <w:rFonts w:eastAsiaTheme="minorEastAsia"/>
          <w:b/>
          <w:bCs/>
        </w:rPr>
      </w:pPr>
    </w:p>
    <w:p w14:paraId="2BADC722" w14:textId="77777777" w:rsidR="004668F4" w:rsidRDefault="004668F4">
      <w:pPr>
        <w:rPr>
          <w:rFonts w:eastAsiaTheme="minorEastAsia"/>
          <w:b/>
          <w:bCs/>
        </w:rPr>
      </w:pPr>
    </w:p>
    <w:p w14:paraId="2726FD69" w14:textId="77777777" w:rsidR="004668F4" w:rsidRDefault="004668F4">
      <w:pPr>
        <w:rPr>
          <w:rFonts w:eastAsiaTheme="minorEastAsia"/>
          <w:b/>
          <w:bCs/>
        </w:rPr>
      </w:pPr>
    </w:p>
    <w:p w14:paraId="7A18B23C" w14:textId="77777777" w:rsidR="004668F4" w:rsidRDefault="004668F4">
      <w:pPr>
        <w:rPr>
          <w:rFonts w:eastAsiaTheme="minorEastAsia"/>
          <w:b/>
          <w:bCs/>
        </w:rPr>
      </w:pPr>
    </w:p>
    <w:p w14:paraId="1D2CD282" w14:textId="77777777" w:rsidR="004668F4" w:rsidRPr="0011643B" w:rsidRDefault="004668F4">
      <w:pPr>
        <w:rPr>
          <w:rFonts w:eastAsiaTheme="minorEastAsia"/>
        </w:rPr>
      </w:pPr>
    </w:p>
    <w:p w14:paraId="6111A405" w14:textId="77777777" w:rsidR="00B2524A" w:rsidRPr="00B2524A" w:rsidRDefault="00D91489" w:rsidP="00B2524A">
      <w:pPr>
        <w:pStyle w:val="EndNoteBibliography"/>
        <w:ind w:left="720" w:hanging="720"/>
        <w:rPr>
          <w:noProof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B2524A" w:rsidRPr="00B2524A">
        <w:rPr>
          <w:noProof/>
        </w:rPr>
        <w:t>1.</w:t>
      </w:r>
      <w:r w:rsidR="00B2524A" w:rsidRPr="00B2524A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="00B2524A" w:rsidRPr="00B2524A">
        <w:rPr>
          <w:i/>
          <w:noProof/>
        </w:rPr>
        <w:t>mBio</w:t>
      </w:r>
      <w:r w:rsidR="00B2524A" w:rsidRPr="00B2524A">
        <w:rPr>
          <w:noProof/>
        </w:rPr>
        <w:t xml:space="preserve"> </w:t>
      </w:r>
      <w:r w:rsidR="00B2524A" w:rsidRPr="00B2524A">
        <w:rPr>
          <w:b/>
          <w:noProof/>
        </w:rPr>
        <w:t>6</w:t>
      </w:r>
      <w:r w:rsidR="00B2524A" w:rsidRPr="00B2524A">
        <w:rPr>
          <w:noProof/>
        </w:rPr>
        <w:t>, e00767-00715 (2015).</w:t>
      </w:r>
    </w:p>
    <w:p w14:paraId="22346A4A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2.</w:t>
      </w:r>
      <w:r w:rsidRPr="00B2524A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Pr="00B2524A">
        <w:rPr>
          <w:i/>
          <w:noProof/>
        </w:rPr>
        <w:t>Proceedings of the National Academy of Sciences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111</w:t>
      </w:r>
      <w:r w:rsidRPr="00B2524A">
        <w:rPr>
          <w:noProof/>
        </w:rPr>
        <w:t>, 208-213 (2014).</w:t>
      </w:r>
    </w:p>
    <w:p w14:paraId="57E22604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3.</w:t>
      </w:r>
      <w:r w:rsidRPr="00B2524A">
        <w:rPr>
          <w:noProof/>
        </w:rPr>
        <w:tab/>
        <w:t xml:space="preserve">G. M. Green, E. H. Kass, FACTORS INFLUENCING THE CLEARANCE OF BACTERIA BY THE LUNG. </w:t>
      </w:r>
      <w:r w:rsidRPr="00B2524A">
        <w:rPr>
          <w:i/>
          <w:noProof/>
        </w:rPr>
        <w:t>J Clin Invest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43</w:t>
      </w:r>
      <w:r w:rsidRPr="00B2524A">
        <w:rPr>
          <w:noProof/>
        </w:rPr>
        <w:t>, 769-776 (1964).</w:t>
      </w:r>
    </w:p>
    <w:p w14:paraId="3F23667D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4.</w:t>
      </w:r>
      <w:r w:rsidRPr="00B2524A">
        <w:rPr>
          <w:noProof/>
        </w:rPr>
        <w:tab/>
        <w:t>G. Perpati</w:t>
      </w:r>
      <w:r w:rsidRPr="00B2524A">
        <w:rPr>
          <w:i/>
          <w:noProof/>
        </w:rPr>
        <w:t xml:space="preserve"> et al.</w:t>
      </w:r>
      <w:r w:rsidRPr="00B2524A">
        <w:rPr>
          <w:noProof/>
        </w:rPr>
        <w:t xml:space="preserve">, Resting respiratory variables and exercise capacity in adult patients with cystic fibrosis. </w:t>
      </w:r>
      <w:r w:rsidRPr="00B2524A">
        <w:rPr>
          <w:i/>
          <w:noProof/>
        </w:rPr>
        <w:t>Respiratory Medicine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104</w:t>
      </w:r>
      <w:r w:rsidRPr="00B2524A">
        <w:rPr>
          <w:noProof/>
        </w:rPr>
        <w:t>, 1444-1449 (2010).</w:t>
      </w:r>
    </w:p>
    <w:p w14:paraId="113B1F6E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5.</w:t>
      </w:r>
      <w:r w:rsidRPr="00B2524A">
        <w:rPr>
          <w:noProof/>
        </w:rPr>
        <w:tab/>
        <w:t xml:space="preserve">T. E. Riedel, W. M. Berelson, K. H. Nealson, S. E. Finkel, Oxygen Consumption Rates of Bacteria under Nutrient-Limited Conditions. </w:t>
      </w:r>
      <w:r w:rsidRPr="00B2524A">
        <w:rPr>
          <w:i/>
          <w:noProof/>
        </w:rPr>
        <w:t>Applied and Environmental Microbiology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79</w:t>
      </w:r>
      <w:r w:rsidRPr="00B2524A">
        <w:rPr>
          <w:noProof/>
        </w:rPr>
        <w:t>, 4921-4931 (2013).</w:t>
      </w:r>
    </w:p>
    <w:p w14:paraId="1878BEEE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6.</w:t>
      </w:r>
      <w:r w:rsidRPr="00B2524A">
        <w:rPr>
          <w:noProof/>
        </w:rPr>
        <w:tab/>
        <w:t xml:space="preserve">Albert (2022) Periodic Reaction-Diffusion PDE solver. in </w:t>
      </w:r>
      <w:r w:rsidRPr="00B2524A">
        <w:rPr>
          <w:i/>
          <w:noProof/>
        </w:rPr>
        <w:t>MATLAB Central File Exchange</w:t>
      </w:r>
      <w:r w:rsidRPr="00B2524A">
        <w:rPr>
          <w:noProof/>
        </w:rPr>
        <w:t>.</w:t>
      </w:r>
    </w:p>
    <w:p w14:paraId="054561B2" w14:textId="6388C03E" w:rsidR="002C478B" w:rsidRPr="006172EE" w:rsidRDefault="00D91489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2C478B" w:rsidRPr="0061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21&lt;/item&gt;&lt;item&gt;22&lt;/item&gt;&lt;item&gt;34&lt;/item&gt;&lt;item&gt;45&lt;/item&gt;&lt;item&gt;106&lt;/item&gt;&lt;/record-ids&gt;&lt;/item&gt;&lt;/Libraries&gt;"/>
  </w:docVars>
  <w:rsids>
    <w:rsidRoot w:val="007B3447"/>
    <w:rsid w:val="00006E45"/>
    <w:rsid w:val="00007305"/>
    <w:rsid w:val="000269BD"/>
    <w:rsid w:val="000269FE"/>
    <w:rsid w:val="0005332A"/>
    <w:rsid w:val="00054DB9"/>
    <w:rsid w:val="0008412F"/>
    <w:rsid w:val="000B6FBE"/>
    <w:rsid w:val="000C2681"/>
    <w:rsid w:val="000C4174"/>
    <w:rsid w:val="000C5C3B"/>
    <w:rsid w:val="000C7EF0"/>
    <w:rsid w:val="000D2008"/>
    <w:rsid w:val="000F126E"/>
    <w:rsid w:val="00100BA6"/>
    <w:rsid w:val="00100CB3"/>
    <w:rsid w:val="001029D8"/>
    <w:rsid w:val="00105BCD"/>
    <w:rsid w:val="001123C2"/>
    <w:rsid w:val="0011643B"/>
    <w:rsid w:val="00130EC4"/>
    <w:rsid w:val="00136572"/>
    <w:rsid w:val="00150467"/>
    <w:rsid w:val="00155C6A"/>
    <w:rsid w:val="00163D26"/>
    <w:rsid w:val="001662D9"/>
    <w:rsid w:val="00177200"/>
    <w:rsid w:val="00177831"/>
    <w:rsid w:val="00185D78"/>
    <w:rsid w:val="001C145B"/>
    <w:rsid w:val="001C3F27"/>
    <w:rsid w:val="001D65E0"/>
    <w:rsid w:val="001E3B78"/>
    <w:rsid w:val="001E7451"/>
    <w:rsid w:val="001F0FD4"/>
    <w:rsid w:val="001F2022"/>
    <w:rsid w:val="00205DE4"/>
    <w:rsid w:val="002105DB"/>
    <w:rsid w:val="00211413"/>
    <w:rsid w:val="0021569D"/>
    <w:rsid w:val="00216876"/>
    <w:rsid w:val="002202DC"/>
    <w:rsid w:val="00226189"/>
    <w:rsid w:val="00230055"/>
    <w:rsid w:val="0024642B"/>
    <w:rsid w:val="002534F0"/>
    <w:rsid w:val="00261E79"/>
    <w:rsid w:val="002760E8"/>
    <w:rsid w:val="002927BF"/>
    <w:rsid w:val="002A1D5E"/>
    <w:rsid w:val="002A3B45"/>
    <w:rsid w:val="002A4E39"/>
    <w:rsid w:val="002A55E9"/>
    <w:rsid w:val="002B046A"/>
    <w:rsid w:val="002C478B"/>
    <w:rsid w:val="002C63E1"/>
    <w:rsid w:val="002D1BA2"/>
    <w:rsid w:val="00300C3F"/>
    <w:rsid w:val="003258E5"/>
    <w:rsid w:val="00330DE4"/>
    <w:rsid w:val="00337D18"/>
    <w:rsid w:val="00360B82"/>
    <w:rsid w:val="003A3738"/>
    <w:rsid w:val="003C2606"/>
    <w:rsid w:val="003C660F"/>
    <w:rsid w:val="003D75B8"/>
    <w:rsid w:val="003F6784"/>
    <w:rsid w:val="00421878"/>
    <w:rsid w:val="00432321"/>
    <w:rsid w:val="00435332"/>
    <w:rsid w:val="00437EE3"/>
    <w:rsid w:val="004668F4"/>
    <w:rsid w:val="004719B8"/>
    <w:rsid w:val="004836FD"/>
    <w:rsid w:val="004A2D66"/>
    <w:rsid w:val="004B1AED"/>
    <w:rsid w:val="004B6B95"/>
    <w:rsid w:val="004B6F78"/>
    <w:rsid w:val="004C19E9"/>
    <w:rsid w:val="004C1DA2"/>
    <w:rsid w:val="004C3551"/>
    <w:rsid w:val="004C373F"/>
    <w:rsid w:val="004D2DD0"/>
    <w:rsid w:val="004E0A67"/>
    <w:rsid w:val="004E458A"/>
    <w:rsid w:val="004F7670"/>
    <w:rsid w:val="00506A4A"/>
    <w:rsid w:val="00514C07"/>
    <w:rsid w:val="00536C89"/>
    <w:rsid w:val="005428FE"/>
    <w:rsid w:val="00557504"/>
    <w:rsid w:val="005606A2"/>
    <w:rsid w:val="005674BE"/>
    <w:rsid w:val="00572B00"/>
    <w:rsid w:val="0057333A"/>
    <w:rsid w:val="00585983"/>
    <w:rsid w:val="00591B31"/>
    <w:rsid w:val="005B7617"/>
    <w:rsid w:val="005D521D"/>
    <w:rsid w:val="005E2617"/>
    <w:rsid w:val="005E541B"/>
    <w:rsid w:val="00606588"/>
    <w:rsid w:val="006172EE"/>
    <w:rsid w:val="00617B3B"/>
    <w:rsid w:val="00623126"/>
    <w:rsid w:val="006529E6"/>
    <w:rsid w:val="00654FE1"/>
    <w:rsid w:val="00661E7A"/>
    <w:rsid w:val="006B5947"/>
    <w:rsid w:val="006C60B8"/>
    <w:rsid w:val="006D1A5F"/>
    <w:rsid w:val="006D2472"/>
    <w:rsid w:val="006F3923"/>
    <w:rsid w:val="006F5908"/>
    <w:rsid w:val="007334D4"/>
    <w:rsid w:val="007409D0"/>
    <w:rsid w:val="00741C52"/>
    <w:rsid w:val="00762C7B"/>
    <w:rsid w:val="00770346"/>
    <w:rsid w:val="00793F9C"/>
    <w:rsid w:val="007B2EA7"/>
    <w:rsid w:val="007B327A"/>
    <w:rsid w:val="007B3447"/>
    <w:rsid w:val="007C165C"/>
    <w:rsid w:val="007D4FD8"/>
    <w:rsid w:val="007E282E"/>
    <w:rsid w:val="00803B5A"/>
    <w:rsid w:val="008209B0"/>
    <w:rsid w:val="00837232"/>
    <w:rsid w:val="0084732E"/>
    <w:rsid w:val="00851310"/>
    <w:rsid w:val="00851AC4"/>
    <w:rsid w:val="008577D6"/>
    <w:rsid w:val="008644A9"/>
    <w:rsid w:val="00870BB5"/>
    <w:rsid w:val="0089224F"/>
    <w:rsid w:val="00894220"/>
    <w:rsid w:val="008A0E65"/>
    <w:rsid w:val="008A58CB"/>
    <w:rsid w:val="008A7111"/>
    <w:rsid w:val="008B5815"/>
    <w:rsid w:val="008C7055"/>
    <w:rsid w:val="008E36E7"/>
    <w:rsid w:val="008F110A"/>
    <w:rsid w:val="0090388C"/>
    <w:rsid w:val="00921697"/>
    <w:rsid w:val="00926A87"/>
    <w:rsid w:val="00927806"/>
    <w:rsid w:val="00932B1B"/>
    <w:rsid w:val="00954014"/>
    <w:rsid w:val="0095616F"/>
    <w:rsid w:val="00976CED"/>
    <w:rsid w:val="009826A8"/>
    <w:rsid w:val="009A240C"/>
    <w:rsid w:val="009A2B9E"/>
    <w:rsid w:val="009B4C94"/>
    <w:rsid w:val="009B762A"/>
    <w:rsid w:val="009C3093"/>
    <w:rsid w:val="009D08EF"/>
    <w:rsid w:val="009D3976"/>
    <w:rsid w:val="009D76DA"/>
    <w:rsid w:val="009D77B1"/>
    <w:rsid w:val="009E1653"/>
    <w:rsid w:val="009F2975"/>
    <w:rsid w:val="009F4FB6"/>
    <w:rsid w:val="009F63AD"/>
    <w:rsid w:val="00A003D4"/>
    <w:rsid w:val="00A0774B"/>
    <w:rsid w:val="00A116E4"/>
    <w:rsid w:val="00A15350"/>
    <w:rsid w:val="00A3564F"/>
    <w:rsid w:val="00A50E69"/>
    <w:rsid w:val="00A513C0"/>
    <w:rsid w:val="00A64DDF"/>
    <w:rsid w:val="00A666E1"/>
    <w:rsid w:val="00A9464D"/>
    <w:rsid w:val="00AA0952"/>
    <w:rsid w:val="00AA1661"/>
    <w:rsid w:val="00AA7BBF"/>
    <w:rsid w:val="00AB42D5"/>
    <w:rsid w:val="00AB5D2E"/>
    <w:rsid w:val="00AD40C2"/>
    <w:rsid w:val="00AD414A"/>
    <w:rsid w:val="00AD4FD0"/>
    <w:rsid w:val="00AD594F"/>
    <w:rsid w:val="00AD6FCB"/>
    <w:rsid w:val="00B0261A"/>
    <w:rsid w:val="00B0787A"/>
    <w:rsid w:val="00B2524A"/>
    <w:rsid w:val="00B27334"/>
    <w:rsid w:val="00B31712"/>
    <w:rsid w:val="00B417CD"/>
    <w:rsid w:val="00B46C72"/>
    <w:rsid w:val="00B51279"/>
    <w:rsid w:val="00B5484D"/>
    <w:rsid w:val="00B610E2"/>
    <w:rsid w:val="00B70076"/>
    <w:rsid w:val="00B73AA7"/>
    <w:rsid w:val="00B80DB6"/>
    <w:rsid w:val="00B8142A"/>
    <w:rsid w:val="00B82841"/>
    <w:rsid w:val="00B84B78"/>
    <w:rsid w:val="00B87503"/>
    <w:rsid w:val="00B90916"/>
    <w:rsid w:val="00B910B3"/>
    <w:rsid w:val="00B94D9E"/>
    <w:rsid w:val="00BA04B7"/>
    <w:rsid w:val="00BA1E7A"/>
    <w:rsid w:val="00BB7853"/>
    <w:rsid w:val="00BC4A10"/>
    <w:rsid w:val="00BC6FA4"/>
    <w:rsid w:val="00BD6CA6"/>
    <w:rsid w:val="00BE4993"/>
    <w:rsid w:val="00BE5714"/>
    <w:rsid w:val="00BF6E3E"/>
    <w:rsid w:val="00C01BA5"/>
    <w:rsid w:val="00C01CF2"/>
    <w:rsid w:val="00C15601"/>
    <w:rsid w:val="00C266E5"/>
    <w:rsid w:val="00C31E65"/>
    <w:rsid w:val="00C34EFF"/>
    <w:rsid w:val="00C43174"/>
    <w:rsid w:val="00C50C05"/>
    <w:rsid w:val="00C50DD4"/>
    <w:rsid w:val="00C52E04"/>
    <w:rsid w:val="00C661B8"/>
    <w:rsid w:val="00C709EB"/>
    <w:rsid w:val="00C70DDD"/>
    <w:rsid w:val="00C82696"/>
    <w:rsid w:val="00C93CB4"/>
    <w:rsid w:val="00C967AE"/>
    <w:rsid w:val="00CC4027"/>
    <w:rsid w:val="00CD01C1"/>
    <w:rsid w:val="00CE45FB"/>
    <w:rsid w:val="00CE4E4D"/>
    <w:rsid w:val="00CE58F0"/>
    <w:rsid w:val="00CE61CA"/>
    <w:rsid w:val="00D01210"/>
    <w:rsid w:val="00D13BAE"/>
    <w:rsid w:val="00D27654"/>
    <w:rsid w:val="00D3636A"/>
    <w:rsid w:val="00D40601"/>
    <w:rsid w:val="00D45227"/>
    <w:rsid w:val="00D539B4"/>
    <w:rsid w:val="00D57115"/>
    <w:rsid w:val="00D67FEA"/>
    <w:rsid w:val="00D91489"/>
    <w:rsid w:val="00D95958"/>
    <w:rsid w:val="00DA5759"/>
    <w:rsid w:val="00DA5C08"/>
    <w:rsid w:val="00DA6958"/>
    <w:rsid w:val="00DA7198"/>
    <w:rsid w:val="00DC6B25"/>
    <w:rsid w:val="00DD5EDE"/>
    <w:rsid w:val="00DE1A02"/>
    <w:rsid w:val="00DF61DF"/>
    <w:rsid w:val="00DF7423"/>
    <w:rsid w:val="00E0274A"/>
    <w:rsid w:val="00E07849"/>
    <w:rsid w:val="00E279F8"/>
    <w:rsid w:val="00E31B16"/>
    <w:rsid w:val="00E421CC"/>
    <w:rsid w:val="00E513F2"/>
    <w:rsid w:val="00E51909"/>
    <w:rsid w:val="00E55BC7"/>
    <w:rsid w:val="00E70E3A"/>
    <w:rsid w:val="00E71C4B"/>
    <w:rsid w:val="00E72FAF"/>
    <w:rsid w:val="00E73569"/>
    <w:rsid w:val="00E76BD9"/>
    <w:rsid w:val="00E85E53"/>
    <w:rsid w:val="00EB54C7"/>
    <w:rsid w:val="00EC3093"/>
    <w:rsid w:val="00EC3A3A"/>
    <w:rsid w:val="00ED23E4"/>
    <w:rsid w:val="00EE5B22"/>
    <w:rsid w:val="00EF34FE"/>
    <w:rsid w:val="00F11E9C"/>
    <w:rsid w:val="00F2068B"/>
    <w:rsid w:val="00F23E8E"/>
    <w:rsid w:val="00F4502B"/>
    <w:rsid w:val="00F47E3C"/>
    <w:rsid w:val="00F70429"/>
    <w:rsid w:val="00F936BD"/>
    <w:rsid w:val="00F94803"/>
    <w:rsid w:val="00F97FB5"/>
    <w:rsid w:val="00FA0E60"/>
    <w:rsid w:val="00FB4116"/>
    <w:rsid w:val="00FC0ED8"/>
    <w:rsid w:val="00FD7E52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315"/>
  <w15:chartTrackingRefBased/>
  <w15:docId w15:val="{D47B2A5A-0088-C548-9082-90B39DC7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9D8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D9148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9148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9148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91489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95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2268</Words>
  <Characters>12929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268</cp:revision>
  <dcterms:created xsi:type="dcterms:W3CDTF">2022-06-15T19:09:00Z</dcterms:created>
  <dcterms:modified xsi:type="dcterms:W3CDTF">2022-12-06T04:12:00Z</dcterms:modified>
</cp:coreProperties>
</file>