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rPr>
        <w:t xml:space="preserve"/>
      </w:r>
    </w:p>
    <w:p>
      <w:pPr>
        <w:pBdr>
          <w:bottom w:val="single" w:color="C9A23F" w:sz="18" w:space="1"/>
        </w:pBdr>
        <w:spacing w:after="40"/>
      </w:pPr>
      <w:r>
        <w:rPr>
          <w:rFonts w:ascii="Arial" w:cs="Arial" w:eastAsia="Arial" w:hAnsi="Arial"/>
        </w:rPr>
        <w:t xml:space="preserve"/>
      </w:r>
    </w:p>
    <w:p>
      <w:pPr>
        <w:spacing w:after="0" w:before="40"/>
        <w:jc w:val="center"/>
      </w:pPr>
      <w:r>
        <w:rPr>
          <w:rFonts w:ascii="Georgia" w:cs="Georgia" w:eastAsia="Georgia" w:hAnsi="Georgia"/>
          <w:b/>
          <w:bCs/>
          <w:color w:val="16395C"/>
          <w:spacing w:val="80"/>
          <w:sz w:val="30"/>
          <w:szCs w:val="30"/>
        </w:rPr>
        <w:t xml:space="preserve">LEADERSHIELD</w:t>
      </w:r>
      <w:r>
        <w:rPr>
          <w:rFonts w:ascii="Arial" w:cs="Arial" w:eastAsia="Arial" w:hAnsi="Arial"/>
          <w:b/>
          <w:bCs/>
          <w:color w:val="9A7A28"/>
          <w:sz w:val="16"/>
          <w:szCs w:val="16"/>
        </w:rPr>
        <w:t xml:space="preserve">™</w:t>
      </w:r>
    </w:p>
    <w:p>
      <w:pPr>
        <w:pBdr>
          <w:bottom w:val="single" w:color="C9A23F" w:sz="18" w:space="1"/>
        </w:pBdr>
        <w:spacing w:after="0" w:before="40"/>
      </w:pPr>
      <w:r>
        <w:rPr>
          <w:rFonts w:ascii="Arial" w:cs="Arial" w:eastAsia="Arial" w:hAnsi="Arial"/>
        </w:rPr>
        <w:t xml:space="preserve"/>
      </w:r>
    </w:p>
    <w:p>
      <w:pPr>
        <w:spacing w:after="280" w:before="460"/>
        <w:jc w:val="center"/>
      </w:pPr>
      <w:r>
        <w:drawing>
          <wp:inline distT="0" distB="0" distL="0" distR="0">
            <wp:extent cx="1866900" cy="2238375"/>
            <wp:effectExtent t="0" r="0" b="0" l="0"/>
            <wp:docPr id="1" name="shield" descr="Shield" title="Leader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66900" cy="2238375"/>
                    </a:xfrm>
                    <a:prstGeom prst="rect">
                      <a:avLst/>
                    </a:prstGeom>
                  </pic:spPr>
                </pic:pic>
              </a:graphicData>
            </a:graphic>
          </wp:inline>
        </w:drawing>
      </w:r>
    </w:p>
    <w:p>
      <w:pPr>
        <w:spacing w:after="6"/>
        <w:jc w:val="center"/>
      </w:pPr>
      <w:r>
        <w:rPr>
          <w:rFonts w:ascii="Arial" w:cs="Arial" w:eastAsia="Arial" w:hAnsi="Arial"/>
          <w:b/>
          <w:bCs/>
          <w:color w:val="9A7A28"/>
          <w:spacing w:val="20"/>
          <w:sz w:val="22"/>
          <w:szCs w:val="22"/>
        </w:rPr>
        <w:t xml:space="preserve">DISTRIBUTION &amp; CHANNEL STRATEGY</w:t>
      </w:r>
    </w:p>
    <w:p>
      <w:pPr>
        <w:spacing w:after="0"/>
        <w:jc w:val="center"/>
      </w:pPr>
      <w:r>
        <w:rPr>
          <w:rFonts w:ascii="Georgia" w:cs="Georgia" w:eastAsia="Georgia" w:hAnsi="Georgia"/>
          <w:b/>
          <w:bCs/>
          <w:color w:val="0C2438"/>
          <w:sz w:val="44"/>
          <w:szCs w:val="44"/>
        </w:rPr>
        <w:t xml:space="preserve">Channel Partnership</w:t>
      </w:r>
    </w:p>
    <w:p>
      <w:pPr>
        <w:spacing w:after="200" w:before="30"/>
        <w:jc w:val="center"/>
      </w:pPr>
      <w:r>
        <w:rPr>
          <w:rFonts w:ascii="Georgia" w:cs="Georgia" w:eastAsia="Georgia" w:hAnsi="Georgia"/>
          <w:b/>
          <w:bCs/>
          <w:color w:val="0C2438"/>
          <w:sz w:val="44"/>
          <w:szCs w:val="44"/>
        </w:rPr>
        <w:t xml:space="preserve">Playbook</w:t>
      </w:r>
    </w:p>
    <w:p>
      <w:pPr>
        <w:spacing w:after="200"/>
        <w:jc w:val="center"/>
      </w:pPr>
      <w:r>
        <w:rPr>
          <w:rFonts w:ascii="Arial" w:cs="Arial" w:eastAsia="Arial" w:hAnsi="Arial"/>
          <w:color w:val="C9A23F"/>
          <w:sz w:val="22"/>
          <w:szCs w:val="22"/>
        </w:rPr>
        <w:t xml:space="preserve">———————————   ◆   ———————————</w:t>
      </w:r>
    </w:p>
    <w:p>
      <w:pPr>
        <w:spacing w:after="520"/>
        <w:jc w:val="center"/>
      </w:pPr>
      <w:r>
        <w:rPr>
          <w:rFonts w:ascii="Arial" w:cs="Arial" w:eastAsia="Arial" w:hAnsi="Arial"/>
          <w:i/>
          <w:iCs/>
          <w:color w:val="5C6675"/>
          <w:sz w:val="21"/>
          <w:szCs w:val="21"/>
        </w:rPr>
        <w:t xml:space="preserve">Turning distribution partners into a force multiplier — four models, one per partner type.</w:t>
      </w:r>
    </w:p>
    <w:tbl>
      <w:tblPr>
        <w:tblW w:type="dxa" w:w="9360"/>
        <w:tblBorders>
          <w:top w:val="single" w:color="C9A23F" w:sz="6"/>
          <w:left w:val="none"/>
          <w:bottom w:val="single" w:color="C9A23F" w:sz="6"/>
          <w:right w:val="none"/>
          <w:insideH w:val="single" w:color="auto" w:sz="4"/>
          <w:insideV w:val="single" w:color="auto" w:sz="4"/>
        </w:tblBorders>
      </w:tblPr>
      <w:tblGrid>
        <w:gridCol w:w="9360"/>
      </w:tblGrid>
      <w:tr>
        <w:tc>
          <w:tcPr>
            <w:tcW w:type="dxa" w:w="9360"/>
            <w:shd w:fill="16395C" w:val="clear"/>
            <w:tcMar>
              <w:top w:type="dxa" w:w="160"/>
              <w:left w:type="dxa" w:w="200"/>
              <w:bottom w:type="dxa" w:w="160"/>
              <w:right w:type="dxa" w:w="200"/>
            </w:tcMar>
          </w:tcPr>
          <w:p>
            <w:pPr>
              <w:spacing w:after="0"/>
              <w:jc w:val="center"/>
            </w:pPr>
            <w:r>
              <w:rPr>
                <w:rFonts w:ascii="Arial" w:cs="Arial" w:eastAsia="Arial" w:hAnsi="Arial"/>
                <w:b/>
                <w:bCs/>
                <w:color w:val="FFFFFF"/>
                <w:spacing w:val="14"/>
                <w:sz w:val="20"/>
                <w:szCs w:val="20"/>
              </w:rPr>
              <w:t xml:space="preserve">FOR SALES LEADERSHIP &amp; THE CHANNEL TEAM</w:t>
            </w:r>
            <w:r>
              <w:rPr>
                <w:rFonts w:ascii="Arial" w:cs="Arial" w:eastAsia="Arial" w:hAnsi="Arial"/>
                <w:color w:val="C9A23F"/>
                <w:sz w:val="20"/>
                <w:szCs w:val="20"/>
              </w:rPr>
              <w:t xml:space="preserve">    |    </w:t>
            </w:r>
            <w:r>
              <w:rPr>
                <w:rFonts w:ascii="Arial" w:cs="Arial" w:eastAsia="Arial" w:hAnsi="Arial"/>
                <w:b/>
                <w:bCs/>
                <w:color w:val="C9A23F"/>
                <w:spacing w:val="14"/>
                <w:sz w:val="20"/>
                <w:szCs w:val="20"/>
              </w:rPr>
              <w:t xml:space="preserve">LEADERSHIELD 2026</w:t>
            </w:r>
          </w:p>
        </w:tc>
      </w:tr>
    </w:tbl>
    <w:p>
      <w:r>
        <w:br w:type="page"/>
      </w:r>
    </w:p>
    <w:p>
      <w:pPr>
        <w:keepNext/>
        <w:spacing w:after="40" w:before="160"/>
      </w:pPr>
      <w:r>
        <w:rPr>
          <w:rFonts w:ascii="Arial" w:cs="Arial" w:eastAsia="Arial" w:hAnsi="Arial"/>
          <w:b/>
          <w:bCs/>
          <w:color w:val="9A7A28"/>
          <w:spacing w:val="26"/>
          <w:sz w:val="17"/>
          <w:szCs w:val="17"/>
        </w:rPr>
        <w:t xml:space="preserve">THE CORE IDEA</w:t>
      </w:r>
    </w:p>
    <w:p>
      <w:pPr>
        <w:pBdr>
          <w:bottom w:val="single" w:color="C9A23F" w:sz="14" w:space="6"/>
        </w:pBdr>
        <w:spacing w:after="180"/>
      </w:pPr>
      <w:r>
        <w:rPr>
          <w:rFonts w:ascii="Georgia" w:cs="Georgia" w:eastAsia="Georgia" w:hAnsi="Georgia"/>
          <w:b/>
          <w:bCs/>
          <w:color w:val="0C2438"/>
          <w:sz w:val="34"/>
          <w:szCs w:val="34"/>
        </w:rPr>
        <w:t xml:space="preserve">Match The Partner To The Model</w:t>
      </w:r>
    </w:p>
    <w:p>
      <w:pPr>
        <w:spacing w:after="200" w:line="300"/>
      </w:pPr>
      <w:r>
        <w:rPr>
          <w:rFonts w:ascii="Arial" w:cs="Arial" w:eastAsia="Arial" w:hAnsi="Arial"/>
          <w:color w:val="16395C"/>
          <w:sz w:val="23"/>
          <w:szCs w:val="23"/>
        </w:rPr>
        <w:t xml:space="preserve">You don't have ten partnership strategies — you have four. Every category of partner slots into one of four models, and the model decides who you call, what you offer, and how everyone gets paid.</w:t>
      </w:r>
    </w:p>
    <w:p>
      <w:pPr>
        <w:spacing w:after="140" w:before="0" w:line="276"/>
      </w:pPr>
      <w:r>
        <w:rPr>
          <w:rFonts w:ascii="Arial" w:cs="Arial" w:eastAsia="Arial" w:hAnsi="Arial"/>
          <w:color w:val="1E2733"/>
          <w:sz w:val="21"/>
          <w:szCs w:val="21"/>
        </w:rPr>
        <w:t xml:space="preserve">Trying to run the same pitch across a bookkeeping franchise, an insurance network, a loan-broker association, and a call center is how channel programs stall. Each of those wants something fundamentally different. This playbook defines the four models, maps every target category to the right one, sequences where to start, and sets the commercial terms and guardrails so the whole program stays consistent — and consistent with our compliance posture.</w:t>
      </w:r>
    </w:p>
    <w:p>
      <w:pPr>
        <w:spacing w:after="40"/>
      </w:pPr>
      <w:r>
        <w:rPr>
          <w:rFonts w:ascii="Arial" w:cs="Arial" w:eastAsia="Arial" w:hAnsi="Arial"/>
        </w:rPr>
        <w:t xml:space="preserve"/>
      </w:r>
    </w:p>
    <w:tbl>
      <w:tblPr>
        <w:tblW w:type="dxa" w:w="9360"/>
        <w:tblBorders>
          <w:top w:val="single" w:color="F7F0DC" w:sz="2"/>
          <w:left w:val="single" w:color="C9A23F" w:sz="30"/>
          <w:bottom w:val="single" w:color="F7F0DC" w:sz="2"/>
          <w:right w:val="single" w:color="F7F0DC" w:sz="2"/>
          <w:insideH w:val="single" w:color="auto" w:sz="4"/>
          <w:insideV w:val="single" w:color="auto" w:sz="4"/>
        </w:tblBorders>
      </w:tblPr>
      <w:tblGrid>
        <w:gridCol w:w="9360"/>
      </w:tblGrid>
      <w:tr>
        <w:tc>
          <w:tcPr>
            <w:tcW w:type="dxa" w:w="9360"/>
            <w:shd w:fill="F7F0DC" w:val="clear"/>
            <w:tcMar>
              <w:top w:type="dxa" w:w="150"/>
              <w:left w:type="dxa" w:w="240"/>
              <w:bottom w:type="dxa" w:w="150"/>
              <w:right w:type="dxa" w:w="220"/>
            </w:tcMar>
          </w:tcPr>
          <w:p>
            <w:pPr>
              <w:spacing w:after="60"/>
            </w:pPr>
            <w:r>
              <w:rPr>
                <w:rFonts w:ascii="Arial" w:cs="Arial" w:eastAsia="Arial" w:hAnsi="Arial"/>
                <w:b/>
                <w:bCs/>
                <w:color w:val="9A7A28"/>
                <w:spacing w:val="18"/>
                <w:sz w:val="17"/>
                <w:szCs w:val="17"/>
              </w:rPr>
              <w:t xml:space="preserve">READ IT LIKE THIS</w:t>
            </w:r>
          </w:p>
          <w:p>
            <w:pPr>
              <w:spacing w:after="0" w:line="280"/>
            </w:pPr>
            <w:r>
              <w:rPr>
                <w:rFonts w:ascii="Arial" w:cs="Arial" w:eastAsia="Arial" w:hAnsi="Arial"/>
                <w:b/>
                <w:bCs/>
                <w:color w:val="0C2438"/>
                <w:sz w:val="21"/>
                <w:szCs w:val="21"/>
              </w:rPr>
              <w:t xml:space="preserve">Framework first, then execution. </w:t>
            </w:r>
            <w:r>
              <w:rPr>
                <w:rFonts w:ascii="Arial" w:cs="Arial" w:eastAsia="Arial" w:hAnsi="Arial"/>
                <w:color w:val="0C2438"/>
                <w:sz w:val="21"/>
                <w:szCs w:val="21"/>
              </w:rPr>
              <w:t xml:space="preserve">Section 1 is the four-model framework. Sections 2–5 are one model each — who, why, who to call, how to lead, how they get paid. Section 6 maps every category to its model. Section 7 sequences the rollout. Section 8 sets commercial terms and guardrails.</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01</w:t>
      </w:r>
    </w:p>
    <w:p>
      <w:pPr>
        <w:pBdr>
          <w:bottom w:val="single" w:color="C9A23F" w:sz="20" w:space="10"/>
        </w:pBdr>
        <w:spacing w:after="160"/>
      </w:pPr>
      <w:r>
        <w:rPr>
          <w:rFonts w:ascii="Georgia" w:cs="Georgia" w:eastAsia="Georgia" w:hAnsi="Georgia"/>
          <w:b/>
          <w:bCs/>
          <w:color w:val="0C2438"/>
          <w:sz w:val="40"/>
          <w:szCs w:val="40"/>
        </w:rPr>
        <w:t xml:space="preserve">The Four Partnership Models</w:t>
      </w:r>
    </w:p>
    <w:p>
      <w:pPr>
        <w:spacing w:after="260"/>
      </w:pPr>
      <w:r>
        <w:rPr>
          <w:rFonts w:ascii="Arial" w:cs="Arial" w:eastAsia="Arial" w:hAnsi="Arial"/>
          <w:i/>
          <w:iCs/>
          <w:color w:val="2E6E9E"/>
          <w:sz w:val="24"/>
          <w:szCs w:val="24"/>
        </w:rPr>
        <w:t xml:space="preserve">One lens that organizes every partner type.</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four models at a glance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What separates them</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How to choose</w:t>
      </w:r>
    </w:p>
    <w:p>
      <w:r>
        <w:br w:type="page"/>
      </w:r>
    </w:p>
    <w:p>
      <w:pPr>
        <w:spacing w:after="140" w:before="0" w:line="276"/>
      </w:pPr>
      <w:r>
        <w:rPr>
          <w:rFonts w:ascii="Arial" w:cs="Arial" w:eastAsia="Arial" w:hAnsi="Arial"/>
          <w:color w:val="1E2733"/>
          <w:sz w:val="21"/>
          <w:szCs w:val="21"/>
        </w:rPr>
        <w:t xml:space="preserve">The four models differ on one question: what does the partner actually do for you? Refer their clients, deploy their sales force, give you access to their members, or run a campaign with their capacity. Get that right and everything downstream follows.</w:t>
      </w:r>
    </w:p>
    <w:p>
      <w:pPr>
        <w:spacing w:after="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3760"/>
      </w:tblGrid>
      <w:tr>
        <w:trPr>
          <w:tblHeader/>
        </w:trPr>
        <w:tc>
          <w:tcPr>
            <w:tcW w:type="dxa" w:w="15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Model</w:t>
            </w:r>
          </w:p>
        </w:tc>
        <w:tc>
          <w:tcPr>
            <w:tcW w:type="dxa" w:w="41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What The Partner Does</w:t>
            </w:r>
          </w:p>
        </w:tc>
        <w:tc>
          <w:tcPr>
            <w:tcW w:type="dxa" w:w="37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Best-Fit Partner Types</w:t>
            </w:r>
          </w:p>
        </w:tc>
      </w:tr>
      <w:tr>
        <w:tc>
          <w:tcPr>
            <w:tcW w:type="dxa" w:w="15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A · Monetize Your Client Base</w:t>
            </w:r>
          </w:p>
        </w:tc>
        <w:tc>
          <w:tcPr>
            <w:tcW w:type="dxa" w:w="41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Refers or resells to their own book of business owners; LeaderShield fulfills.</w:t>
            </w:r>
          </w:p>
        </w:tc>
        <w:tc>
          <w:tcPr>
            <w:tcW w:type="dxa" w:w="37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Bookkeeping/tax/advisory, cost-reduction consultants, marketing/SaaS resellers</w:t>
            </w:r>
          </w:p>
        </w:tc>
      </w:tr>
      <w:tr>
        <w:tc>
          <w:tcPr>
            <w:tcW w:type="dxa" w:w="15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B · Add A Product Line</w:t>
            </w:r>
          </w:p>
        </w:tc>
        <w:tc>
          <w:tcPr>
            <w:tcW w:type="dxa" w:w="41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Their existing 1099 sales force adopts LeaderShield as an additional, non-competing line.</w:t>
            </w:r>
          </w:p>
        </w:tc>
        <w:tc>
          <w:tcPr>
            <w:tcW w:type="dxa" w:w="37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Insurance networks, telecom/energy broker channels, marketing franchises, direct sales</w:t>
            </w:r>
          </w:p>
        </w:tc>
      </w:tr>
      <w:tr>
        <w:tc>
          <w:tcPr>
            <w:tcW w:type="dxa" w:w="15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C · Reach The Membership</w:t>
            </w:r>
          </w:p>
        </w:tc>
        <w:tc>
          <w:tcPr>
            <w:tcW w:type="dxa" w:w="41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Gives you access to all their members at once via sponsorship / endorsed-vendor status.</w:t>
            </w:r>
          </w:p>
        </w:tc>
        <w:tc>
          <w:tcPr>
            <w:tcW w:type="dxa" w:w="37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Commercial-loan-broker associations, direct-selling association</w:t>
            </w:r>
          </w:p>
        </w:tc>
      </w:tr>
      <w:tr>
        <w:tc>
          <w:tcPr>
            <w:tcW w:type="dxa" w:w="15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D · Rent The Dialer</w:t>
            </w:r>
          </w:p>
        </w:tc>
        <w:tc>
          <w:tcPr>
            <w:tcW w:type="dxa" w:w="41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Runs outbound campaigns with their agent capacity on performance terms.</w:t>
            </w:r>
          </w:p>
        </w:tc>
        <w:tc>
          <w:tcPr>
            <w:tcW w:type="dxa" w:w="37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Outbound B2B call centers, (gated) MCA telesales rooms</w:t>
            </w:r>
          </w:p>
        </w:tc>
      </w:tr>
    </w:tbl>
    <w:p>
      <w:pPr>
        <w:spacing w:after="2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THE ONE-SENTENCE TEST</w:t>
            </w:r>
          </w:p>
          <w:p>
            <w:pPr>
              <w:spacing w:after="0" w:line="280"/>
            </w:pPr>
            <w:r>
              <w:rPr>
                <w:rFonts w:ascii="Arial" w:cs="Arial" w:eastAsia="Arial" w:hAnsi="Arial"/>
                <w:b/>
                <w:bCs/>
                <w:color w:val="0C2438"/>
                <w:sz w:val="21"/>
                <w:szCs w:val="21"/>
              </w:rPr>
              <w:t xml:space="preserve">Ask: “Is this partner going to refer, deploy, host, or dial?” </w:t>
            </w:r>
            <w:r>
              <w:rPr>
                <w:rFonts w:ascii="Arial" w:cs="Arial" w:eastAsia="Arial" w:hAnsi="Arial"/>
                <w:color w:val="0C2438"/>
                <w:sz w:val="21"/>
                <w:szCs w:val="21"/>
              </w:rPr>
              <w:t xml:space="preserve">Refer → Model A. Deploy their own agents → Model B. Host you to their members → Model C. Dial on your behalf → Model D. That single answer sets the entire approach.</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02</w:t>
      </w:r>
    </w:p>
    <w:p>
      <w:pPr>
        <w:pBdr>
          <w:bottom w:val="single" w:color="C9A23F" w:sz="20" w:space="10"/>
        </w:pBdr>
        <w:spacing w:after="160"/>
      </w:pPr>
      <w:r>
        <w:rPr>
          <w:rFonts w:ascii="Georgia" w:cs="Georgia" w:eastAsia="Georgia" w:hAnsi="Georgia"/>
          <w:b/>
          <w:bCs/>
          <w:color w:val="0C2438"/>
          <w:sz w:val="40"/>
          <w:szCs w:val="40"/>
        </w:rPr>
        <w:t xml:space="preserve">Model A — Monetize Your Client Base</w:t>
      </w:r>
    </w:p>
    <w:p>
      <w:pPr>
        <w:spacing w:after="260"/>
      </w:pPr>
      <w:r>
        <w:rPr>
          <w:rFonts w:ascii="Arial" w:cs="Arial" w:eastAsia="Arial" w:hAnsi="Arial"/>
          <w:i/>
          <w:iCs/>
          <w:color w:val="2E6E9E"/>
          <w:sz w:val="24"/>
          <w:szCs w:val="24"/>
        </w:rPr>
        <w:t xml:space="preserve">Partners who already advise business owners, and want recurring revenue.</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Who it's for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How you lead</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Commercial structure</w:t>
      </w:r>
    </w:p>
    <w:p>
      <w:r>
        <w:br w:type="page"/>
      </w:r>
    </w:p>
    <w:tbl>
      <w:tblPr>
        <w:tblW w:type="dxa" w:w="9360"/>
        <w:tblBorders>
          <w:top w:val="none"/>
          <w:left w:val="none"/>
          <w:bottom w:val="none"/>
          <w:right w:val="none"/>
          <w:insideH w:val="none"/>
          <w:insideV w:val="none"/>
        </w:tblBorders>
      </w:tblPr>
      <w:tblGrid>
        <w:gridCol w:w="1300"/>
        <w:gridCol w:w="8060"/>
      </w:tblGrid>
      <w:tr>
        <w:tc>
          <w:tcPr>
            <w:tcW w:type="dxa" w:w="1300"/>
            <w:shd w:fill="0C2438" w:val="clear"/>
            <w:tcMar>
              <w:top w:type="dxa" w:w="80"/>
              <w:left w:type="dxa" w:w="0"/>
              <w:bottom w:type="dxa" w:w="80"/>
              <w:right w:type="dxa" w:w="0"/>
            </w:tcMar>
            <w:vAlign w:val="center"/>
          </w:tcPr>
          <w:p>
            <w:pPr>
              <w:spacing w:after="0"/>
              <w:jc w:val="center"/>
            </w:pPr>
            <w:r>
              <w:rPr>
                <w:rFonts w:ascii="Georgia" w:cs="Georgia" w:eastAsia="Georgia" w:hAnsi="Georgia"/>
                <w:b/>
                <w:bCs/>
                <w:color w:val="C9A23F"/>
                <w:sz w:val="60"/>
                <w:szCs w:val="60"/>
              </w:rPr>
              <w:t xml:space="preserve">A</w:t>
            </w:r>
          </w:p>
        </w:tc>
        <w:tc>
          <w:tcPr>
            <w:tcW w:type="dxa" w:w="8060"/>
            <w:shd w:fill="EAF0F6" w:val="clear"/>
            <w:tcMar>
              <w:top w:type="dxa" w:w="80"/>
              <w:left w:type="dxa" w:w="240"/>
              <w:bottom w:type="dxa" w:w="80"/>
              <w:right w:type="dxa" w:w="160"/>
            </w:tcMar>
            <w:vAlign w:val="center"/>
          </w:tcPr>
          <w:p>
            <w:pPr>
              <w:spacing w:after="4"/>
            </w:pPr>
            <w:r>
              <w:rPr>
                <w:rFonts w:ascii="Georgia" w:cs="Georgia" w:eastAsia="Georgia" w:hAnsi="Georgia"/>
                <w:b/>
                <w:bCs/>
                <w:color w:val="0C2438"/>
                <w:sz w:val="26"/>
                <w:szCs w:val="26"/>
              </w:rPr>
              <w:t xml:space="preserve">Monetize Your Client Base</w:t>
            </w:r>
          </w:p>
          <w:p>
            <w:pPr>
              <w:spacing w:after="0"/>
            </w:pPr>
            <w:r>
              <w:rPr>
                <w:rFonts w:ascii="Arial" w:cs="Arial" w:eastAsia="Arial" w:hAnsi="Arial"/>
                <w:i/>
                <w:iCs/>
                <w:color w:val="9A7A28"/>
                <w:sz w:val="19"/>
                <w:szCs w:val="19"/>
              </w:rPr>
              <w:t xml:space="preserve">Referral / revenue-share with trusted advisors</w:t>
            </w:r>
          </w:p>
        </w:tc>
      </w:tr>
    </w:tbl>
    <w:p>
      <w:pPr>
        <w:spacing w:after="2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These partners have deep, trusted relationships with business owners but sell neither funding nor software. They refer (or lightly resell) to their book; LeaderShield handles fulfillment and the ongoing relationship; the partner earns a referral bounty plus a recurring override. It's pure additive revenue on relationships they already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Best-fit categories</w:t>
            </w:r>
          </w:p>
        </w:tc>
        <w:tc>
          <w:tcPr>
            <w:tcW w:type="dxa" w:w="67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Bookkeeping / tax / business-advisory firms (Paramount, Padgett, Liberty Tax); cost-reduction consultants (Schooley Mitchell); marketing / SaaS resellers (Vendasta, SharpNet).</w:t>
            </w:r>
          </w:p>
        </w:tc>
      </w:tr>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Why they say yes</w:t>
            </w:r>
          </w:p>
        </w:tc>
        <w:tc>
          <w:tcPr>
            <w:tcW w:type="dxa" w:w="67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Recurring revenue, stickier clients, and a way to monetize what they already see — they know exactly which clients are cash-strapped or trying to grow.</w:t>
            </w:r>
          </w:p>
        </w:tc>
      </w:tr>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Who you call</w:t>
            </w:r>
          </w:p>
        </w:tc>
        <w:tc>
          <w:tcPr>
            <w:tcW w:type="dxa" w:w="67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Franchise development / corporate BD for the networks (one deal opens the whole franchise base); independent firm owners directly.</w:t>
            </w:r>
          </w:p>
        </w:tc>
      </w:tr>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How you lead</w:t>
            </w:r>
          </w:p>
        </w:tc>
        <w:tc>
          <w:tcPr>
            <w:tcW w:type="dxa" w:w="67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Funding-first for bookkeepers (“you already know who needs capital”); added-value for consultants (a new line on the review they already do); clean, no-conflict add for resellers.</w:t>
            </w:r>
          </w:p>
        </w:tc>
      </w:tr>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Commercial structure</w:t>
            </w:r>
          </w:p>
        </w:tc>
        <w:tc>
          <w:tcPr>
            <w:tcW w:type="dxa" w:w="67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Per-funded-deal bounty + a recurring percentage on subscriptions they place. (Final numbers set per deal — see Section 8.)</w:t>
            </w:r>
          </w:p>
        </w:tc>
      </w:tr>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First move</w:t>
            </w:r>
          </w:p>
        </w:tc>
        <w:tc>
          <w:tcPr>
            <w:tcW w:type="dxa" w:w="67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Corporate partnership pitch to the franchisor; pilot with a handful of engaged franchisees to prove the motion, then roll out.</w:t>
            </w:r>
          </w:p>
        </w:tc>
      </w:tr>
    </w:tbl>
    <w:p>
      <w:pPr>
        <w:spacing w:after="2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THE BOOKKEEPER IS YOUR BEST PARTNER</w:t>
            </w:r>
          </w:p>
          <w:p>
            <w:pPr>
              <w:spacing w:after="0" w:line="280"/>
            </w:pPr>
            <w:r>
              <w:rPr>
                <w:rFonts w:ascii="Arial" w:cs="Arial" w:eastAsia="Arial" w:hAnsi="Arial"/>
                <w:b/>
                <w:bCs/>
                <w:color w:val="0C2438"/>
                <w:sz w:val="21"/>
                <w:szCs w:val="21"/>
              </w:rPr>
              <w:t xml:space="preserve">No one knows a merchant's cash flow better than the person doing their books. </w:t>
            </w:r>
            <w:r>
              <w:rPr>
                <w:rFonts w:ascii="Arial" w:cs="Arial" w:eastAsia="Arial" w:hAnsi="Arial"/>
                <w:color w:val="0C2438"/>
                <w:sz w:val="21"/>
                <w:szCs w:val="21"/>
              </w:rPr>
              <w:t xml:space="preserve">That makes the bookkeeping/advisory tier the single highest-intent referral source for funding — lead there, and lead with capital.</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03</w:t>
      </w:r>
    </w:p>
    <w:p>
      <w:pPr>
        <w:pBdr>
          <w:bottom w:val="single" w:color="C9A23F" w:sz="20" w:space="10"/>
        </w:pBdr>
        <w:spacing w:after="160"/>
      </w:pPr>
      <w:r>
        <w:rPr>
          <w:rFonts w:ascii="Georgia" w:cs="Georgia" w:eastAsia="Georgia" w:hAnsi="Georgia"/>
          <w:b/>
          <w:bCs/>
          <w:color w:val="0C2438"/>
          <w:sz w:val="40"/>
          <w:szCs w:val="40"/>
        </w:rPr>
        <w:t xml:space="preserve">Model B — Add A Product Line</w:t>
      </w:r>
    </w:p>
    <w:p>
      <w:pPr>
        <w:spacing w:after="260"/>
      </w:pPr>
      <w:r>
        <w:rPr>
          <w:rFonts w:ascii="Arial" w:cs="Arial" w:eastAsia="Arial" w:hAnsi="Arial"/>
          <w:i/>
          <w:iCs/>
          <w:color w:val="2E6E9E"/>
          <w:sz w:val="24"/>
          <w:szCs w:val="24"/>
        </w:rPr>
        <w:t xml:space="preserve">Partners with a 1099 sales force already calling on businesses.</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Who it's for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How you lead by type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Commercial structure</w:t>
      </w:r>
    </w:p>
    <w:p>
      <w:r>
        <w:br w:type="page"/>
      </w:r>
    </w:p>
    <w:tbl>
      <w:tblPr>
        <w:tblW w:type="dxa" w:w="9360"/>
        <w:tblBorders>
          <w:top w:val="none"/>
          <w:left w:val="none"/>
          <w:bottom w:val="none"/>
          <w:right w:val="none"/>
          <w:insideH w:val="none"/>
          <w:insideV w:val="none"/>
        </w:tblBorders>
      </w:tblPr>
      <w:tblGrid>
        <w:gridCol w:w="1300"/>
        <w:gridCol w:w="8060"/>
      </w:tblGrid>
      <w:tr>
        <w:tc>
          <w:tcPr>
            <w:tcW w:type="dxa" w:w="1300"/>
            <w:shd w:fill="0C2438" w:val="clear"/>
            <w:tcMar>
              <w:top w:type="dxa" w:w="80"/>
              <w:left w:type="dxa" w:w="0"/>
              <w:bottom w:type="dxa" w:w="80"/>
              <w:right w:type="dxa" w:w="0"/>
            </w:tcMar>
            <w:vAlign w:val="center"/>
          </w:tcPr>
          <w:p>
            <w:pPr>
              <w:spacing w:after="0"/>
              <w:jc w:val="center"/>
            </w:pPr>
            <w:r>
              <w:rPr>
                <w:rFonts w:ascii="Georgia" w:cs="Georgia" w:eastAsia="Georgia" w:hAnsi="Georgia"/>
                <w:b/>
                <w:bCs/>
                <w:color w:val="C9A23F"/>
                <w:sz w:val="60"/>
                <w:szCs w:val="60"/>
              </w:rPr>
              <w:t xml:space="preserve">B</w:t>
            </w:r>
          </w:p>
        </w:tc>
        <w:tc>
          <w:tcPr>
            <w:tcW w:type="dxa" w:w="8060"/>
            <w:shd w:fill="EAF0F6" w:val="clear"/>
            <w:tcMar>
              <w:top w:type="dxa" w:w="80"/>
              <w:left w:type="dxa" w:w="240"/>
              <w:bottom w:type="dxa" w:w="80"/>
              <w:right w:type="dxa" w:w="160"/>
            </w:tcMar>
            <w:vAlign w:val="center"/>
          </w:tcPr>
          <w:p>
            <w:pPr>
              <w:spacing w:after="4"/>
            </w:pPr>
            <w:r>
              <w:rPr>
                <w:rFonts w:ascii="Georgia" w:cs="Georgia" w:eastAsia="Georgia" w:hAnsi="Georgia"/>
                <w:b/>
                <w:bCs/>
                <w:color w:val="0C2438"/>
                <w:sz w:val="26"/>
                <w:szCs w:val="26"/>
              </w:rPr>
              <w:t xml:space="preserve">Add A Product Line To Your Sales Force</w:t>
            </w:r>
          </w:p>
          <w:p>
            <w:pPr>
              <w:spacing w:after="0"/>
            </w:pPr>
            <w:r>
              <w:rPr>
                <w:rFonts w:ascii="Arial" w:cs="Arial" w:eastAsia="Arial" w:hAnsi="Arial"/>
                <w:i/>
                <w:iCs/>
                <w:color w:val="9A7A28"/>
                <w:sz w:val="19"/>
                <w:szCs w:val="19"/>
              </w:rPr>
              <w:t xml:space="preserve">Recruit their distributed agents</w:t>
            </w:r>
          </w:p>
        </w:tc>
      </w:tr>
    </w:tbl>
    <w:p>
      <w:pPr>
        <w:spacing w:after="2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These partners already run a distributed, commission-driven sales force that sits with business owners. Their agents adopt LeaderShield as an additional, non-competing line — a second reason to call the same book — and the organization earns an override on that production. We supply the enablement; they supply the feet on the street.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Best-fit categories</w:t>
            </w:r>
          </w:p>
        </w:tc>
        <w:tc>
          <w:tcPr>
            <w:tcW w:type="dxa" w:w="67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Commercial / P&amp;C insurance agency networks; telecom / tech master agencies; energy-broker channels; local-marketing franchises; direct-sales / network-marketing orgs.</w:t>
            </w:r>
          </w:p>
        </w:tc>
      </w:tr>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Why they say yes</w:t>
            </w:r>
          </w:p>
        </w:tc>
        <w:tc>
          <w:tcPr>
            <w:tcW w:type="dxa" w:w="67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Their people only earn on their core product today — LeaderShield gives them more to sell to the same relationships, and the org earns override. The recurring-residual culture already fits.</w:t>
            </w:r>
          </w:p>
        </w:tc>
      </w:tr>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Who you call</w:t>
            </w:r>
          </w:p>
        </w:tc>
        <w:tc>
          <w:tcPr>
            <w:tcW w:type="dxa" w:w="67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Network partnerships / vendor-relations teams; master-agency channel / partner teams; franchisor BD.</w:t>
            </w:r>
          </w:p>
        </w:tc>
      </w:tr>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Commercial structure</w:t>
            </w:r>
          </w:p>
        </w:tc>
        <w:tc>
          <w:tcPr>
            <w:tcW w:type="dxa" w:w="67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Org-level override on member/agent production; agents earn standard LeaderShield agent comp. LeaderShield provides training and materials.</w:t>
            </w:r>
          </w:p>
        </w:tc>
      </w:tr>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First move</w:t>
            </w:r>
          </w:p>
        </w:tc>
        <w:tc>
          <w:tcPr>
            <w:tcW w:type="dxa" w:w="67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Pitch a portfolio addition plus agent enablement; train their force with the Recruiting Playbook, Business Overview, and Pitch Deck.</w:t>
            </w:r>
          </w:p>
        </w:tc>
      </w:tr>
    </w:tbl>
    <w:p>
      <w:pPr>
        <w:spacing w:after="16"/>
      </w:pPr>
      <w:r>
        <w:rPr>
          <w:rFonts w:ascii="Arial" w:cs="Arial" w:eastAsia="Arial" w:hAnsi="Arial"/>
        </w:rPr>
        <w:t xml:space="preserve"/>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How To Lead, By Partner Type</w:t>
      </w:r>
    </w:p>
    <w:p>
      <w:pPr>
        <w:pStyle w:val="ListParagraph"/>
        <w:numPr>
          <w:ilvl w:val="0"/>
          <w:numId w:val="2"/>
        </w:numPr>
        <w:spacing w:after="56" w:line="268"/>
      </w:pPr>
      <w:r>
        <w:rPr>
          <w:rFonts w:ascii="Arial" w:cs="Arial" w:eastAsia="Arial" w:hAnsi="Arial"/>
          <w:b/>
          <w:bCs/>
          <w:color w:val="0C2438"/>
          <w:sz w:val="21"/>
          <w:szCs w:val="21"/>
        </w:rPr>
        <w:t xml:space="preserve">Insurance networks — relationship-first. </w:t>
      </w:r>
      <w:r>
        <w:rPr>
          <w:rFonts w:ascii="Arial" w:cs="Arial" w:eastAsia="Arial" w:hAnsi="Arial"/>
          <w:color w:val="1E2733"/>
          <w:sz w:val="21"/>
          <w:szCs w:val="21"/>
        </w:rPr>
        <w:t xml:space="preserve">“Your agents already have the trust; give them more to do with it.” (Also the play for your booked insurance-agency meeting.)</w:t>
      </w:r>
    </w:p>
    <w:p>
      <w:pPr>
        <w:pStyle w:val="ListParagraph"/>
        <w:numPr>
          <w:ilvl w:val="0"/>
          <w:numId w:val="2"/>
        </w:numPr>
        <w:spacing w:after="56" w:line="268"/>
      </w:pPr>
      <w:r>
        <w:rPr>
          <w:rFonts w:ascii="Arial" w:cs="Arial" w:eastAsia="Arial" w:hAnsi="Arial"/>
          <w:b/>
          <w:bCs/>
          <w:color w:val="0C2438"/>
          <w:sz w:val="21"/>
          <w:szCs w:val="21"/>
        </w:rPr>
        <w:t xml:space="preserve">Telecom &amp; energy channels — additive, zero conflict. </w:t>
      </w:r>
      <w:r>
        <w:rPr>
          <w:rFonts w:ascii="Arial" w:cs="Arial" w:eastAsia="Arial" w:hAnsi="Arial"/>
          <w:color w:val="1E2733"/>
          <w:sz w:val="21"/>
          <w:szCs w:val="21"/>
        </w:rPr>
        <w:t xml:space="preserve">“Funding + growth software slot into your portfolio with nothing competing, on the recurring model your advisors love.”</w:t>
      </w:r>
    </w:p>
    <w:p>
      <w:pPr>
        <w:pStyle w:val="ListParagraph"/>
        <w:numPr>
          <w:ilvl w:val="0"/>
          <w:numId w:val="2"/>
        </w:numPr>
        <w:spacing w:after="56" w:line="268"/>
      </w:pPr>
      <w:r>
        <w:rPr>
          <w:rFonts w:ascii="Arial" w:cs="Arial" w:eastAsia="Arial" w:hAnsi="Arial"/>
          <w:b/>
          <w:bCs/>
          <w:color w:val="0C2438"/>
          <w:sz w:val="21"/>
          <w:szCs w:val="21"/>
        </w:rPr>
        <w:t xml:space="preserve">Local-marketing franchises — funding-first. </w:t>
      </w:r>
      <w:r>
        <w:rPr>
          <w:rFonts w:ascii="Arial" w:cs="Arial" w:eastAsia="Arial" w:hAnsi="Arial"/>
          <w:color w:val="1E2733"/>
          <w:sz w:val="21"/>
          <w:szCs w:val="21"/>
        </w:rPr>
        <w:t xml:space="preserve">“Fund your advertisers,” with the growth platform as a complementary upsell, not a competitor to their core.</w:t>
      </w:r>
    </w:p>
    <w:p>
      <w:pPr>
        <w:pStyle w:val="ListParagraph"/>
        <w:numPr>
          <w:ilvl w:val="0"/>
          <w:numId w:val="2"/>
        </w:numPr>
        <w:spacing w:after="140" w:line="268"/>
      </w:pPr>
      <w:r>
        <w:rPr>
          <w:rFonts w:ascii="Arial" w:cs="Arial" w:eastAsia="Arial" w:hAnsi="Arial"/>
          <w:b/>
          <w:bCs/>
          <w:color w:val="0C2438"/>
          <w:sz w:val="21"/>
          <w:szCs w:val="21"/>
        </w:rPr>
        <w:t xml:space="preserve">Direct sales / MLM — product-line-for-your-field. </w:t>
      </w:r>
      <w:r>
        <w:rPr>
          <w:rFonts w:ascii="Arial" w:cs="Arial" w:eastAsia="Arial" w:hAnsi="Arial"/>
          <w:color w:val="1E2733"/>
          <w:sz w:val="21"/>
          <w:szCs w:val="21"/>
        </w:rPr>
        <w:t xml:space="preserve">“A real B2B product with recurring residual and duplication.” Vet reputation and compliance first. (Your booked MLM meeting.)</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04</w:t>
      </w:r>
    </w:p>
    <w:p>
      <w:pPr>
        <w:pBdr>
          <w:bottom w:val="single" w:color="C9A23F" w:sz="20" w:space="10"/>
        </w:pBdr>
        <w:spacing w:after="160"/>
      </w:pPr>
      <w:r>
        <w:rPr>
          <w:rFonts w:ascii="Georgia" w:cs="Georgia" w:eastAsia="Georgia" w:hAnsi="Georgia"/>
          <w:b/>
          <w:bCs/>
          <w:color w:val="0C2438"/>
          <w:sz w:val="40"/>
          <w:szCs w:val="40"/>
        </w:rPr>
        <w:t xml:space="preserve">Model C — Reach The Membership</w:t>
      </w:r>
    </w:p>
    <w:p>
      <w:pPr>
        <w:spacing w:after="260"/>
      </w:pPr>
      <w:r>
        <w:rPr>
          <w:rFonts w:ascii="Arial" w:cs="Arial" w:eastAsia="Arial" w:hAnsi="Arial"/>
          <w:i/>
          <w:iCs/>
          <w:color w:val="2E6E9E"/>
          <w:sz w:val="24"/>
          <w:szCs w:val="24"/>
        </w:rPr>
        <w:t xml:space="preserve">Get in front of an entire association at once.</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Who it's for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Why it's high-leverage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How it works</w:t>
      </w:r>
    </w:p>
    <w:p>
      <w:r>
        <w:br w:type="page"/>
      </w:r>
    </w:p>
    <w:tbl>
      <w:tblPr>
        <w:tblW w:type="dxa" w:w="9360"/>
        <w:tblBorders>
          <w:top w:val="none"/>
          <w:left w:val="none"/>
          <w:bottom w:val="none"/>
          <w:right w:val="none"/>
          <w:insideH w:val="none"/>
          <w:insideV w:val="none"/>
        </w:tblBorders>
      </w:tblPr>
      <w:tblGrid>
        <w:gridCol w:w="1300"/>
        <w:gridCol w:w="8060"/>
      </w:tblGrid>
      <w:tr>
        <w:tc>
          <w:tcPr>
            <w:tcW w:type="dxa" w:w="1300"/>
            <w:shd w:fill="0C2438" w:val="clear"/>
            <w:tcMar>
              <w:top w:type="dxa" w:w="80"/>
              <w:left w:type="dxa" w:w="0"/>
              <w:bottom w:type="dxa" w:w="80"/>
              <w:right w:type="dxa" w:w="0"/>
            </w:tcMar>
            <w:vAlign w:val="center"/>
          </w:tcPr>
          <w:p>
            <w:pPr>
              <w:spacing w:after="0"/>
              <w:jc w:val="center"/>
            </w:pPr>
            <w:r>
              <w:rPr>
                <w:rFonts w:ascii="Georgia" w:cs="Georgia" w:eastAsia="Georgia" w:hAnsi="Georgia"/>
                <w:b/>
                <w:bCs/>
                <w:color w:val="C9A23F"/>
                <w:sz w:val="60"/>
                <w:szCs w:val="60"/>
              </w:rPr>
              <w:t xml:space="preserve">C</w:t>
            </w:r>
          </w:p>
        </w:tc>
        <w:tc>
          <w:tcPr>
            <w:tcW w:type="dxa" w:w="8060"/>
            <w:shd w:fill="EAF0F6" w:val="clear"/>
            <w:tcMar>
              <w:top w:type="dxa" w:w="80"/>
              <w:left w:type="dxa" w:w="240"/>
              <w:bottom w:type="dxa" w:w="80"/>
              <w:right w:type="dxa" w:w="160"/>
            </w:tcMar>
            <w:vAlign w:val="center"/>
          </w:tcPr>
          <w:p>
            <w:pPr>
              <w:spacing w:after="4"/>
            </w:pPr>
            <w:r>
              <w:rPr>
                <w:rFonts w:ascii="Georgia" w:cs="Georgia" w:eastAsia="Georgia" w:hAnsi="Georgia"/>
                <w:b/>
                <w:bCs/>
                <w:color w:val="0C2438"/>
                <w:sz w:val="26"/>
                <w:szCs w:val="26"/>
              </w:rPr>
              <w:t xml:space="preserve">Get In Front Of The Whole Membership</w:t>
            </w:r>
          </w:p>
          <w:p>
            <w:pPr>
              <w:spacing w:after="0"/>
            </w:pPr>
            <w:r>
              <w:rPr>
                <w:rFonts w:ascii="Arial" w:cs="Arial" w:eastAsia="Arial" w:hAnsi="Arial"/>
                <w:i/>
                <w:iCs/>
                <w:color w:val="9A7A28"/>
                <w:sz w:val="19"/>
                <w:szCs w:val="19"/>
              </w:rPr>
              <w:t xml:space="preserve">Association sponsorship / endorsed-vendor</w:t>
            </w:r>
          </w:p>
        </w:tc>
      </w:tr>
    </w:tbl>
    <w:p>
      <w:pPr>
        <w:spacing w:after="2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Here you don't sign the association as a seller — you sponsor, exhibit, or become an endorsed vendor to reach all of its members at once, then recruit those members under Model A or B. One relationship buys you a room full of merchant-facing professionals.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Best-fit categories</w:t>
            </w:r>
          </w:p>
        </w:tc>
        <w:tc>
          <w:tcPr>
            <w:tcW w:type="dxa" w:w="67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Commercial-loan-broker associations (NACLB, CLBA, CLBI, NASLB); the Direct Selling Association (to source reputable direct-sales orgs).</w:t>
            </w:r>
          </w:p>
        </w:tc>
      </w:tr>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Why it's high-leverage</w:t>
            </w:r>
          </w:p>
        </w:tc>
        <w:tc>
          <w:tcPr>
            <w:tcW w:type="dxa" w:w="67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NACLB alone convenes 900+ brokers responsible for $5B+ in annual SMB financing. One sponsorship = access to the entire room.</w:t>
            </w:r>
          </w:p>
        </w:tc>
      </w:tr>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Who you call</w:t>
            </w:r>
          </w:p>
        </w:tc>
        <w:tc>
          <w:tcPr>
            <w:tcW w:type="dxa" w:w="67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The association's sponsorship / partnerships director (NACLB: 518-694-4046 / info@naclb.org).</w:t>
            </w:r>
          </w:p>
        </w:tc>
      </w:tr>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Commercial structure</w:t>
            </w:r>
          </w:p>
        </w:tc>
        <w:tc>
          <w:tcPr>
            <w:tcW w:type="dxa" w:w="67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You pay a sponsorship / exhibitor / endorsed-vendor fee. ROI is measured in member sign-ups, captured into Model A or B.</w:t>
            </w:r>
          </w:p>
        </w:tc>
      </w:tr>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First move</w:t>
            </w:r>
          </w:p>
        </w:tc>
        <w:tc>
          <w:tcPr>
            <w:tcW w:type="dxa" w:w="67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Sponsor or exhibit the NACLB expo and secure endorsed-vendor status; then convert members — “turn your one-time funding deals into recurring software residual, and add our MCA as another lender.”</w:t>
            </w:r>
          </w:p>
        </w:tc>
      </w:tr>
    </w:tbl>
    <w:p>
      <w:pPr>
        <w:spacing w:after="2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SPONSORSHIP IS A FUNNEL, NOT A LOGO</w:t>
            </w:r>
          </w:p>
          <w:p>
            <w:pPr>
              <w:spacing w:after="0" w:line="280"/>
            </w:pPr>
            <w:r>
              <w:rPr>
                <w:rFonts w:ascii="Arial" w:cs="Arial" w:eastAsia="Arial" w:hAnsi="Arial"/>
                <w:b/>
                <w:bCs/>
                <w:color w:val="0C2438"/>
                <w:sz w:val="21"/>
                <w:szCs w:val="21"/>
              </w:rPr>
              <w:t xml:space="preserve">The goal isn't brand exposure — it's a captured list. </w:t>
            </w:r>
            <w:r>
              <w:rPr>
                <w:rFonts w:ascii="Arial" w:cs="Arial" w:eastAsia="Arial" w:hAnsi="Arial"/>
                <w:color w:val="0C2438"/>
                <w:sz w:val="21"/>
                <w:szCs w:val="21"/>
              </w:rPr>
              <w:t xml:space="preserve">Go in with a clear member offer and a way to enroll brokers on the spot into Model A (refer) or B (sell), so the sponsorship pays for itself in signed partners.</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05</w:t>
      </w:r>
    </w:p>
    <w:p>
      <w:pPr>
        <w:pBdr>
          <w:bottom w:val="single" w:color="C9A23F" w:sz="20" w:space="10"/>
        </w:pBdr>
        <w:spacing w:after="160"/>
      </w:pPr>
      <w:r>
        <w:rPr>
          <w:rFonts w:ascii="Georgia" w:cs="Georgia" w:eastAsia="Georgia" w:hAnsi="Georgia"/>
          <w:b/>
          <w:bCs/>
          <w:color w:val="0C2438"/>
          <w:sz w:val="40"/>
          <w:szCs w:val="40"/>
        </w:rPr>
        <w:t xml:space="preserve">Model D — Rent The Dialer</w:t>
      </w:r>
    </w:p>
    <w:p>
      <w:pPr>
        <w:spacing w:after="260"/>
      </w:pPr>
      <w:r>
        <w:rPr>
          <w:rFonts w:ascii="Arial" w:cs="Arial" w:eastAsia="Arial" w:hAnsi="Arial"/>
          <w:i/>
          <w:iCs/>
          <w:color w:val="2E6E9E"/>
          <w:sz w:val="24"/>
          <w:szCs w:val="24"/>
        </w:rPr>
        <w:t xml:space="preserve">Contract agent capacity to run campaigns.</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Who it's for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Commercial structure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compliance gate</w:t>
      </w:r>
    </w:p>
    <w:p>
      <w:r>
        <w:br w:type="page"/>
      </w:r>
    </w:p>
    <w:tbl>
      <w:tblPr>
        <w:tblW w:type="dxa" w:w="9360"/>
        <w:tblBorders>
          <w:top w:val="none"/>
          <w:left w:val="none"/>
          <w:bottom w:val="none"/>
          <w:right w:val="none"/>
          <w:insideH w:val="none"/>
          <w:insideV w:val="none"/>
        </w:tblBorders>
      </w:tblPr>
      <w:tblGrid>
        <w:gridCol w:w="1300"/>
        <w:gridCol w:w="8060"/>
      </w:tblGrid>
      <w:tr>
        <w:tc>
          <w:tcPr>
            <w:tcW w:type="dxa" w:w="1300"/>
            <w:shd w:fill="0C2438" w:val="clear"/>
            <w:tcMar>
              <w:top w:type="dxa" w:w="80"/>
              <w:left w:type="dxa" w:w="0"/>
              <w:bottom w:type="dxa" w:w="80"/>
              <w:right w:type="dxa" w:w="0"/>
            </w:tcMar>
            <w:vAlign w:val="center"/>
          </w:tcPr>
          <w:p>
            <w:pPr>
              <w:spacing w:after="0"/>
              <w:jc w:val="center"/>
            </w:pPr>
            <w:r>
              <w:rPr>
                <w:rFonts w:ascii="Georgia" w:cs="Georgia" w:eastAsia="Georgia" w:hAnsi="Georgia"/>
                <w:b/>
                <w:bCs/>
                <w:color w:val="C9A23F"/>
                <w:sz w:val="60"/>
                <w:szCs w:val="60"/>
              </w:rPr>
              <w:t xml:space="preserve">D</w:t>
            </w:r>
          </w:p>
        </w:tc>
        <w:tc>
          <w:tcPr>
            <w:tcW w:type="dxa" w:w="8060"/>
            <w:shd w:fill="EAF0F6" w:val="clear"/>
            <w:tcMar>
              <w:top w:type="dxa" w:w="80"/>
              <w:left w:type="dxa" w:w="240"/>
              <w:bottom w:type="dxa" w:w="80"/>
              <w:right w:type="dxa" w:w="160"/>
            </w:tcMar>
            <w:vAlign w:val="center"/>
          </w:tcPr>
          <w:p>
            <w:pPr>
              <w:spacing w:after="4"/>
            </w:pPr>
            <w:r>
              <w:rPr>
                <w:rFonts w:ascii="Georgia" w:cs="Georgia" w:eastAsia="Georgia" w:hAnsi="Georgia"/>
                <w:b/>
                <w:bCs/>
                <w:color w:val="0C2438"/>
                <w:sz w:val="26"/>
                <w:szCs w:val="26"/>
              </w:rPr>
              <w:t xml:space="preserve">Rent The Dialer</w:t>
            </w:r>
          </w:p>
          <w:p>
            <w:pPr>
              <w:spacing w:after="0"/>
            </w:pPr>
            <w:r>
              <w:rPr>
                <w:rFonts w:ascii="Arial" w:cs="Arial" w:eastAsia="Arial" w:hAnsi="Arial"/>
                <w:i/>
                <w:iCs/>
                <w:color w:val="9A7A28"/>
                <w:sz w:val="19"/>
                <w:szCs w:val="19"/>
              </w:rPr>
              <w:t xml:space="preserve">Campaign / capacity contract with call centers</w:t>
            </w:r>
          </w:p>
        </w:tc>
      </w:tr>
    </w:tbl>
    <w:p>
      <w:pPr>
        <w:spacing w:after="20"/>
      </w:pPr>
      <w:r>
        <w:rPr>
          <w:rFonts w:ascii="Arial" w:cs="Arial" w:eastAsia="Arial" w:hAnsi="Arial"/>
        </w:rPr>
        <w:t xml:space="preserve"/>
      </w:r>
    </w:p>
    <w:p>
      <w:pPr>
        <w:spacing w:after="140" w:before="0" w:line="276"/>
      </w:pPr>
      <w:r>
        <w:rPr>
          <w:rFonts w:ascii="Arial" w:cs="Arial" w:eastAsia="Arial" w:hAnsi="Arial"/>
          <w:color w:val="1E2733"/>
          <w:sz w:val="21"/>
          <w:szCs w:val="21"/>
        </w:rPr>
        <w:t xml:space="preserve">These partners have trained agents and dialers and are always looking for a high-commission offer to fill capacity. You contract them to run outbound campaigns — selling LeaderShield directly, or setting appointments your closers work — on performance terms. It's the fastest way to add volume, and the one that needs the tightest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Best-fit categories</w:t>
            </w:r>
          </w:p>
        </w:tc>
        <w:tc>
          <w:tcPr>
            <w:tcW w:type="dxa" w:w="67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Reputable outbound B2B sales / call centers (OnBrand24, SAS, Ansafone, MCI, TTEC). Separately: MCA telesales rooms — gated by compliance vetting.</w:t>
            </w:r>
          </w:p>
        </w:tc>
      </w:tr>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Why they say yes</w:t>
            </w:r>
          </w:p>
        </w:tc>
        <w:tc>
          <w:tcPr>
            <w:tcW w:type="dxa" w:w="67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A high-commission offer that fills idle capacity with fast ramp; you bring the product, they bring the seats.</w:t>
            </w:r>
          </w:p>
        </w:tc>
      </w:tr>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Who you call</w:t>
            </w:r>
          </w:p>
        </w:tc>
        <w:tc>
          <w:tcPr>
            <w:tcW w:type="dxa" w:w="67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BPO sales / partnerships, then the campaign manager.</w:t>
            </w:r>
          </w:p>
        </w:tc>
      </w:tr>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Commercial structure</w:t>
            </w:r>
          </w:p>
        </w:tc>
        <w:tc>
          <w:tcPr>
            <w:tcW w:type="dxa" w:w="67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Scoped paid pilot first, then per-sale bounty / revenue-share / managed campaign (hourly + performance bonus).</w:t>
            </w:r>
          </w:p>
        </w:tc>
      </w:tr>
      <w:tr>
        <w:tc>
          <w:tcPr>
            <w:tcW w:type="dxa" w:w="26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48"/>
            </w:pPr>
            <w:r>
              <w:rPr>
                <w:rFonts w:ascii="Arial" w:cs="Arial" w:eastAsia="Arial" w:hAnsi="Arial"/>
                <w:b/>
                <w:bCs/>
                <w:color w:val="0C2438"/>
                <w:sz w:val="19"/>
                <w:szCs w:val="19"/>
              </w:rPr>
              <w:t xml:space="preserve">First move</w:t>
            </w:r>
          </w:p>
        </w:tc>
        <w:tc>
          <w:tcPr>
            <w:tcW w:type="dxa" w:w="67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0"/>
            </w:pPr>
            <w:r>
              <w:rPr>
                <w:rFonts w:ascii="Arial" w:cs="Arial" w:eastAsia="Arial" w:hAnsi="Arial"/>
                <w:color w:val="1E2733"/>
                <w:sz w:val="19"/>
                <w:szCs w:val="19"/>
              </w:rPr>
              <w:t xml:space="preserve">Pilot with one reputable, compliance-certified center (e.g., OnBrand24 is PACE &amp; PCI-certified). Prove unit economics, then scale.</w:t>
            </w:r>
          </w:p>
        </w:tc>
      </w:tr>
    </w:tbl>
    <w:p>
      <w:pPr>
        <w:spacing w:after="2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THE COMPLIANCE GATE IS NON-NEGOTIABLE</w:t>
            </w:r>
          </w:p>
          <w:p>
            <w:pPr>
              <w:spacing w:after="0" w:line="280"/>
            </w:pPr>
            <w:r>
              <w:rPr>
                <w:rFonts w:ascii="Arial" w:cs="Arial" w:eastAsia="Arial" w:hAnsi="Arial"/>
                <w:b/>
                <w:bCs/>
                <w:color w:val="0C2438"/>
                <w:sz w:val="21"/>
                <w:szCs w:val="21"/>
              </w:rPr>
              <w:t xml:space="preserve">Speed never overrides brand safety. </w:t>
            </w:r>
            <w:r>
              <w:rPr>
                <w:rFonts w:ascii="Arial" w:cs="Arial" w:eastAsia="Arial" w:hAnsi="Arial"/>
                <w:color w:val="0C2438"/>
                <w:sz w:val="21"/>
                <w:szCs w:val="21"/>
              </w:rPr>
              <w:t xml:space="preserve">MCA telesales rooms adopt fastest but carry the highest TCPA and reputation risk. Require US-based or licensed operations, vet reputation hard, and keep LeaderShield in control of the script, the disclosures, and the lead source on every campaign.</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06</w:t>
      </w:r>
    </w:p>
    <w:p>
      <w:pPr>
        <w:pBdr>
          <w:bottom w:val="single" w:color="C9A23F" w:sz="20" w:space="10"/>
        </w:pBdr>
        <w:spacing w:after="160"/>
      </w:pPr>
      <w:r>
        <w:rPr>
          <w:rFonts w:ascii="Georgia" w:cs="Georgia" w:eastAsia="Georgia" w:hAnsi="Georgia"/>
          <w:b/>
          <w:bCs/>
          <w:color w:val="0C2438"/>
          <w:sz w:val="40"/>
          <w:szCs w:val="40"/>
        </w:rPr>
        <w:t xml:space="preserve">Category → Model Map</w:t>
      </w:r>
    </w:p>
    <w:p>
      <w:pPr>
        <w:spacing w:after="260"/>
      </w:pPr>
      <w:r>
        <w:rPr>
          <w:rFonts w:ascii="Arial" w:cs="Arial" w:eastAsia="Arial" w:hAnsi="Arial"/>
          <w:i/>
          <w:iCs/>
          <w:color w:val="2E6E9E"/>
          <w:sz w:val="24"/>
          <w:szCs w:val="24"/>
        </w:rPr>
        <w:t xml:space="preserve">Every target category, matched to its model and message.</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full mapping</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lead message for each</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Quick reference</w:t>
      </w:r>
    </w:p>
    <w:p>
      <w:r>
        <w:br w:type="page"/>
      </w:r>
    </w:p>
    <w:p>
      <w:pPr>
        <w:spacing w:after="140" w:before="0" w:line="276"/>
      </w:pPr>
      <w:r>
        <w:rPr>
          <w:rFonts w:ascii="Arial" w:cs="Arial" w:eastAsia="Arial" w:hAnsi="Arial"/>
          <w:color w:val="1E2733"/>
          <w:sz w:val="21"/>
          <w:szCs w:val="21"/>
        </w:rPr>
        <w:t xml:space="preserve">Use this as the quick-reference key. Find the partner in front of you, read across to the model and the message to lead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460"/>
      </w:tblGrid>
      <w:tr>
        <w:trPr>
          <w:tblHeader/>
        </w:trPr>
        <w:tc>
          <w:tcPr>
            <w:tcW w:type="dxa" w:w="35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Partner Category</w:t>
            </w:r>
          </w:p>
        </w:tc>
        <w:tc>
          <w:tcPr>
            <w:tcW w:type="dxa" w:w="14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Model</w:t>
            </w:r>
          </w:p>
        </w:tc>
        <w:tc>
          <w:tcPr>
            <w:tcW w:type="dxa" w:w="44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Lead With…</w:t>
            </w:r>
          </w:p>
        </w:tc>
      </w:tr>
      <w:tr>
        <w:tc>
          <w:tcPr>
            <w:tcW w:type="dxa" w:w="35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Bookkeeping / tax / advisory</w:t>
            </w:r>
          </w:p>
        </w:tc>
        <w:tc>
          <w:tcPr>
            <w:tcW w:type="dxa" w:w="1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A</w:t>
            </w:r>
          </w:p>
        </w:tc>
        <w:tc>
          <w:tcPr>
            <w:tcW w:type="dxa" w:w="44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Funding — “you see who needs capital”</w:t>
            </w:r>
          </w:p>
        </w:tc>
      </w:tr>
      <w:tr>
        <w:tc>
          <w:tcPr>
            <w:tcW w:type="dxa" w:w="35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Cost-reduction consulting</w:t>
            </w:r>
          </w:p>
        </w:tc>
        <w:tc>
          <w:tcPr>
            <w:tcW w:type="dxa" w:w="1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A</w:t>
            </w:r>
          </w:p>
        </w:tc>
        <w:tc>
          <w:tcPr>
            <w:tcW w:type="dxa" w:w="44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Added value — a new line on your review</w:t>
            </w:r>
          </w:p>
        </w:tc>
      </w:tr>
      <w:tr>
        <w:tc>
          <w:tcPr>
            <w:tcW w:type="dxa" w:w="35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Marketing / SaaS resellers</w:t>
            </w:r>
          </w:p>
        </w:tc>
        <w:tc>
          <w:tcPr>
            <w:tcW w:type="dxa" w:w="1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A</w:t>
            </w:r>
          </w:p>
        </w:tc>
        <w:tc>
          <w:tcPr>
            <w:tcW w:type="dxa" w:w="44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Clean add — funding + complementary platform</w:t>
            </w:r>
          </w:p>
        </w:tc>
      </w:tr>
      <w:tr>
        <w:tc>
          <w:tcPr>
            <w:tcW w:type="dxa" w:w="35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Commercial / P&amp;C insurance networks</w:t>
            </w:r>
          </w:p>
        </w:tc>
        <w:tc>
          <w:tcPr>
            <w:tcW w:type="dxa" w:w="1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bCs/>
                <w:color w:val="2E6E9E"/>
                <w:sz w:val="20"/>
                <w:szCs w:val="20"/>
              </w:rPr>
              <w:t xml:space="preserve">B</w:t>
            </w:r>
          </w:p>
        </w:tc>
        <w:tc>
          <w:tcPr>
            <w:tcW w:type="dxa" w:w="44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Relationship — more to do with their trust</w:t>
            </w:r>
          </w:p>
        </w:tc>
      </w:tr>
      <w:tr>
        <w:tc>
          <w:tcPr>
            <w:tcW w:type="dxa" w:w="35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Telecom / tech master agencies</w:t>
            </w:r>
          </w:p>
        </w:tc>
        <w:tc>
          <w:tcPr>
            <w:tcW w:type="dxa" w:w="1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2E6E9E"/>
                <w:sz w:val="20"/>
                <w:szCs w:val="20"/>
              </w:rPr>
              <w:t xml:space="preserve">B</w:t>
            </w:r>
          </w:p>
        </w:tc>
        <w:tc>
          <w:tcPr>
            <w:tcW w:type="dxa" w:w="44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Additive, zero channel-conflict</w:t>
            </w:r>
          </w:p>
        </w:tc>
      </w:tr>
      <w:tr>
        <w:tc>
          <w:tcPr>
            <w:tcW w:type="dxa" w:w="35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Energy brokers</w:t>
            </w:r>
          </w:p>
        </w:tc>
        <w:tc>
          <w:tcPr>
            <w:tcW w:type="dxa" w:w="1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bCs/>
                <w:color w:val="2E6E9E"/>
                <w:sz w:val="20"/>
                <w:szCs w:val="20"/>
              </w:rPr>
              <w:t xml:space="preserve">B</w:t>
            </w:r>
          </w:p>
        </w:tc>
        <w:tc>
          <w:tcPr>
            <w:tcW w:type="dxa" w:w="44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Additive recurring line for your brokers</w:t>
            </w:r>
          </w:p>
        </w:tc>
      </w:tr>
      <w:tr>
        <w:tc>
          <w:tcPr>
            <w:tcW w:type="dxa" w:w="35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Local-marketing franchises</w:t>
            </w:r>
          </w:p>
        </w:tc>
        <w:tc>
          <w:tcPr>
            <w:tcW w:type="dxa" w:w="1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2E6E9E"/>
                <w:sz w:val="20"/>
                <w:szCs w:val="20"/>
              </w:rPr>
              <w:t xml:space="preserve">B</w:t>
            </w:r>
          </w:p>
        </w:tc>
        <w:tc>
          <w:tcPr>
            <w:tcW w:type="dxa" w:w="44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Funding — fund your advertisers</w:t>
            </w:r>
          </w:p>
        </w:tc>
      </w:tr>
      <w:tr>
        <w:tc>
          <w:tcPr>
            <w:tcW w:type="dxa" w:w="35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Direct sales / network marketing</w:t>
            </w:r>
          </w:p>
        </w:tc>
        <w:tc>
          <w:tcPr>
            <w:tcW w:type="dxa" w:w="1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bCs/>
                <w:color w:val="2E6E9E"/>
                <w:sz w:val="20"/>
                <w:szCs w:val="20"/>
              </w:rPr>
              <w:t xml:space="preserve">B</w:t>
            </w:r>
          </w:p>
        </w:tc>
        <w:tc>
          <w:tcPr>
            <w:tcW w:type="dxa" w:w="44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A real B2B product line for your field</w:t>
            </w:r>
          </w:p>
        </w:tc>
      </w:tr>
      <w:tr>
        <w:tc>
          <w:tcPr>
            <w:tcW w:type="dxa" w:w="35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Commercial-loan-broker associations</w:t>
            </w:r>
          </w:p>
        </w:tc>
        <w:tc>
          <w:tcPr>
            <w:tcW w:type="dxa" w:w="1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0C2438"/>
                <w:sz w:val="20"/>
                <w:szCs w:val="20"/>
              </w:rPr>
              <w:t xml:space="preserve">C → A/B</w:t>
            </w:r>
          </w:p>
        </w:tc>
        <w:tc>
          <w:tcPr>
            <w:tcW w:type="dxa" w:w="44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Sponsor to reach all members, then enroll</w:t>
            </w:r>
          </w:p>
        </w:tc>
      </w:tr>
      <w:tr>
        <w:tc>
          <w:tcPr>
            <w:tcW w:type="dxa" w:w="35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Outbound B2B call centers</w:t>
            </w:r>
          </w:p>
        </w:tc>
        <w:tc>
          <w:tcPr>
            <w:tcW w:type="dxa" w:w="1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bCs/>
                <w:color w:val="16395C"/>
                <w:sz w:val="20"/>
                <w:szCs w:val="20"/>
              </w:rPr>
              <w:t xml:space="preserve">D</w:t>
            </w:r>
          </w:p>
        </w:tc>
        <w:tc>
          <w:tcPr>
            <w:tcW w:type="dxa" w:w="44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Unit economics + brand-safe campaign</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07</w:t>
      </w:r>
    </w:p>
    <w:p>
      <w:pPr>
        <w:pBdr>
          <w:bottom w:val="single" w:color="C9A23F" w:sz="20" w:space="10"/>
        </w:pBdr>
        <w:spacing w:after="160"/>
      </w:pPr>
      <w:r>
        <w:rPr>
          <w:rFonts w:ascii="Georgia" w:cs="Georgia" w:eastAsia="Georgia" w:hAnsi="Georgia"/>
          <w:b/>
          <w:bCs/>
          <w:color w:val="0C2438"/>
          <w:sz w:val="40"/>
          <w:szCs w:val="40"/>
        </w:rPr>
        <w:t xml:space="preserve">Where To Start</w:t>
      </w:r>
    </w:p>
    <w:p>
      <w:pPr>
        <w:spacing w:after="260"/>
      </w:pPr>
      <w:r>
        <w:rPr>
          <w:rFonts w:ascii="Arial" w:cs="Arial" w:eastAsia="Arial" w:hAnsi="Arial"/>
          <w:i/>
          <w:iCs/>
          <w:color w:val="2E6E9E"/>
          <w:sz w:val="24"/>
          <w:szCs w:val="24"/>
        </w:rPr>
        <w:t xml:space="preserve">Sequence for fastest proof, then scale the winners.</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Phase 1 · Fast ROI</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Phase 2 · Scale channels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Phase 3 · Expand</w:t>
      </w:r>
    </w:p>
    <w:p>
      <w:r>
        <w:br w:type="page"/>
      </w:r>
    </w:p>
    <w:p>
      <w:pPr>
        <w:spacing w:after="140" w:before="0" w:line="276"/>
      </w:pPr>
      <w:r>
        <w:rPr>
          <w:rFonts w:ascii="Arial" w:cs="Arial" w:eastAsia="Arial" w:hAnsi="Arial"/>
          <w:color w:val="1E2733"/>
          <w:sz w:val="21"/>
          <w:szCs w:val="21"/>
        </w:rPr>
        <w:t xml:space="preserve">Don't open all ten categories at once. Prove the motion in the highest-intent, fastest-converting channels first, then pour resources into what works. These are activity-and-pipeline milestones, not income promises.</w:t>
      </w:r>
    </w:p>
    <w:p>
      <w:pPr>
        <w:spacing w:after="16"/>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1</w:t>
            </w:r>
          </w:p>
          <w:p>
            <w:pPr>
              <w:spacing w:after="0"/>
              <w:jc w:val="center"/>
            </w:pPr>
            <w:r>
              <w:rPr>
                <w:rFonts w:ascii="Arial" w:cs="Arial" w:eastAsia="Arial" w:hAnsi="Arial"/>
                <w:b/>
                <w:bCs/>
                <w:color w:val="FFFFFF"/>
                <w:spacing w:val="14"/>
                <w:sz w:val="15"/>
                <w:szCs w:val="15"/>
              </w:rPr>
              <w:t xml:space="preserve">FAST ROI</w:t>
            </w:r>
          </w:p>
        </w:tc>
        <w:tc>
          <w:tcPr>
            <w:tcW w:type="dxa" w:w="3120"/>
            <w:tcBorders>
              <w:top w:val="single" w:color="C9A23F" w:sz="6"/>
              <w:left w:val="single" w:color="0C2438" w:sz="2"/>
              <w:bottom w:val="single" w:color="C9A23F" w:sz="6"/>
              <w:right w:val="single" w:color="0C2438" w:sz="2"/>
            </w:tcBorders>
            <w:shd w:fill="0C2438"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2</w:t>
            </w:r>
          </w:p>
          <w:p>
            <w:pPr>
              <w:spacing w:after="0"/>
              <w:jc w:val="center"/>
            </w:pPr>
            <w:r>
              <w:rPr>
                <w:rFonts w:ascii="Arial" w:cs="Arial" w:eastAsia="Arial" w:hAnsi="Arial"/>
                <w:b/>
                <w:bCs/>
                <w:color w:val="FFFFFF"/>
                <w:spacing w:val="14"/>
                <w:sz w:val="15"/>
                <w:szCs w:val="15"/>
              </w:rPr>
              <w:t xml:space="preserve">SCALE CHANNELS</w:t>
            </w:r>
          </w:p>
        </w:tc>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3</w:t>
            </w:r>
          </w:p>
          <w:p>
            <w:pPr>
              <w:spacing w:after="0"/>
              <w:jc w:val="center"/>
            </w:pPr>
            <w:r>
              <w:rPr>
                <w:rFonts w:ascii="Arial" w:cs="Arial" w:eastAsia="Arial" w:hAnsi="Arial"/>
                <w:b/>
                <w:bCs/>
                <w:color w:val="FFFFFF"/>
                <w:spacing w:val="14"/>
                <w:sz w:val="15"/>
                <w:szCs w:val="15"/>
              </w:rPr>
              <w:t xml:space="preserve">EXPAND</w:t>
            </w:r>
          </w:p>
        </w:tc>
      </w:tr>
    </w:tbl>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Phase 1 · Fastest ROI (start here)</w:t>
      </w:r>
    </w:p>
    <w:p>
      <w:pPr>
        <w:pStyle w:val="ListParagraph"/>
        <w:numPr>
          <w:ilvl w:val="0"/>
          <w:numId w:val="3"/>
        </w:numPr>
        <w:spacing w:after="56" w:line="268"/>
      </w:pPr>
      <w:r>
        <w:rPr>
          <w:rFonts w:ascii="Arial" w:cs="Arial" w:eastAsia="Arial" w:hAnsi="Arial"/>
          <w:color w:val="1E2733"/>
          <w:sz w:val="21"/>
          <w:szCs w:val="21"/>
        </w:rPr>
        <w:t xml:space="preserve">Bookkeeping / advisory firms (Model A, funding-led) — highest-intent referral source.</w:t>
      </w:r>
    </w:p>
    <w:p>
      <w:pPr>
        <w:pStyle w:val="ListParagraph"/>
        <w:numPr>
          <w:ilvl w:val="0"/>
          <w:numId w:val="3"/>
        </w:numPr>
        <w:spacing w:after="56" w:line="268"/>
      </w:pPr>
      <w:r>
        <w:rPr>
          <w:rFonts w:ascii="Arial" w:cs="Arial" w:eastAsia="Arial" w:hAnsi="Arial"/>
          <w:color w:val="1E2733"/>
          <w:sz w:val="21"/>
          <w:szCs w:val="21"/>
        </w:rPr>
        <w:t xml:space="preserve">NACLB sponsorship (Model C) — 900+ brokers in one room.</w:t>
      </w:r>
    </w:p>
    <w:p>
      <w:pPr>
        <w:pStyle w:val="ListParagraph"/>
        <w:numPr>
          <w:ilvl w:val="0"/>
          <w:numId w:val="3"/>
        </w:numPr>
        <w:spacing w:after="56" w:line="268"/>
      </w:pPr>
      <w:r>
        <w:rPr>
          <w:rFonts w:ascii="Arial" w:cs="Arial" w:eastAsia="Arial" w:hAnsi="Arial"/>
          <w:color w:val="1E2733"/>
          <w:sz w:val="21"/>
          <w:szCs w:val="21"/>
        </w:rPr>
        <w:t xml:space="preserve">One call-center pilot (Model D) with a compliance-certified center.</w:t>
      </w:r>
    </w:p>
    <w:p>
      <w:pPr>
        <w:pStyle w:val="ListParagraph"/>
        <w:numPr>
          <w:ilvl w:val="0"/>
          <w:numId w:val="3"/>
        </w:numPr>
        <w:spacing w:after="140" w:line="268"/>
      </w:pPr>
      <w:r>
        <w:rPr>
          <w:rFonts w:ascii="Arial" w:cs="Arial" w:eastAsia="Arial" w:hAnsi="Arial"/>
          <w:color w:val="1E2733"/>
          <w:sz w:val="21"/>
          <w:szCs w:val="21"/>
        </w:rPr>
        <w:t xml:space="preserve">Work your two booked meetings — insurance agency and MLM — both as Model B, relationship-led.</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Phase 2 · Scale The Channels</w:t>
      </w:r>
    </w:p>
    <w:p>
      <w:pPr>
        <w:pStyle w:val="ListParagraph"/>
        <w:numPr>
          <w:ilvl w:val="0"/>
          <w:numId w:val="3"/>
        </w:numPr>
        <w:spacing w:after="56" w:line="268"/>
      </w:pPr>
      <w:r>
        <w:rPr>
          <w:rFonts w:ascii="Arial" w:cs="Arial" w:eastAsia="Arial" w:hAnsi="Arial"/>
          <w:color w:val="1E2733"/>
          <w:sz w:val="21"/>
          <w:szCs w:val="21"/>
        </w:rPr>
        <w:t xml:space="preserve">Commercial / P&amp;C insurance networks (Model B).</w:t>
      </w:r>
    </w:p>
    <w:p>
      <w:pPr>
        <w:pStyle w:val="ListParagraph"/>
        <w:numPr>
          <w:ilvl w:val="0"/>
          <w:numId w:val="3"/>
        </w:numPr>
        <w:spacing w:after="56" w:line="268"/>
      </w:pPr>
      <w:r>
        <w:rPr>
          <w:rFonts w:ascii="Arial" w:cs="Arial" w:eastAsia="Arial" w:hAnsi="Arial"/>
          <w:color w:val="1E2733"/>
          <w:sz w:val="21"/>
          <w:szCs w:val="21"/>
        </w:rPr>
        <w:t xml:space="preserve">Telecom / tech master agencies and energy-broker channels (Model B).</w:t>
      </w:r>
    </w:p>
    <w:p>
      <w:pPr>
        <w:pStyle w:val="ListParagraph"/>
        <w:numPr>
          <w:ilvl w:val="0"/>
          <w:numId w:val="3"/>
        </w:numPr>
        <w:spacing w:after="140" w:line="268"/>
      </w:pPr>
      <w:r>
        <w:rPr>
          <w:rFonts w:ascii="Arial" w:cs="Arial" w:eastAsia="Arial" w:hAnsi="Arial"/>
          <w:color w:val="1E2733"/>
          <w:sz w:val="21"/>
          <w:szCs w:val="21"/>
        </w:rPr>
        <w:t xml:space="preserve">Local-marketing franchises (Model B, funding-led).</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Phase 3 · Expand</w:t>
      </w:r>
    </w:p>
    <w:p>
      <w:pPr>
        <w:pStyle w:val="ListParagraph"/>
        <w:numPr>
          <w:ilvl w:val="0"/>
          <w:numId w:val="3"/>
        </w:numPr>
        <w:spacing w:after="56" w:line="268"/>
      </w:pPr>
      <w:r>
        <w:rPr>
          <w:rFonts w:ascii="Arial" w:cs="Arial" w:eastAsia="Arial" w:hAnsi="Arial"/>
          <w:color w:val="1E2733"/>
          <w:sz w:val="21"/>
          <w:szCs w:val="21"/>
        </w:rPr>
        <w:t xml:space="preserve">Double down on the channels that produced; cut the ones that didn't.</w:t>
      </w:r>
    </w:p>
    <w:p>
      <w:pPr>
        <w:pStyle w:val="ListParagraph"/>
        <w:numPr>
          <w:ilvl w:val="0"/>
          <w:numId w:val="3"/>
        </w:numPr>
        <w:spacing w:after="140" w:line="268"/>
      </w:pPr>
      <w:r>
        <w:rPr>
          <w:rFonts w:ascii="Arial" w:cs="Arial" w:eastAsia="Arial" w:hAnsi="Arial"/>
          <w:color w:val="1E2733"/>
          <w:sz w:val="21"/>
          <w:szCs w:val="21"/>
        </w:rPr>
        <w:t xml:space="preserve">Layer in the next categories from the target list (PEO/payroll, business-coaching franchises, MSP/IT, franchise-broker networks).</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08</w:t>
      </w:r>
    </w:p>
    <w:p>
      <w:pPr>
        <w:pBdr>
          <w:bottom w:val="single" w:color="C9A23F" w:sz="20" w:space="10"/>
        </w:pBdr>
        <w:spacing w:after="160"/>
      </w:pPr>
      <w:r>
        <w:rPr>
          <w:rFonts w:ascii="Georgia" w:cs="Georgia" w:eastAsia="Georgia" w:hAnsi="Georgia"/>
          <w:b/>
          <w:bCs/>
          <w:color w:val="0C2438"/>
          <w:sz w:val="40"/>
          <w:szCs w:val="40"/>
        </w:rPr>
        <w:t xml:space="preserve">Commercial Terms &amp; Guardrails</w:t>
      </w:r>
    </w:p>
    <w:p>
      <w:pPr>
        <w:spacing w:after="260"/>
      </w:pPr>
      <w:r>
        <w:rPr>
          <w:rFonts w:ascii="Arial" w:cs="Arial" w:eastAsia="Arial" w:hAnsi="Arial"/>
          <w:i/>
          <w:iCs/>
          <w:color w:val="2E6E9E"/>
          <w:sz w:val="24"/>
          <w:szCs w:val="24"/>
        </w:rPr>
        <w:t xml:space="preserve">The offer menu, and the lines we never cross.</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terms menu</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What stays internal</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Compliance guardrails</w:t>
      </w:r>
    </w:p>
    <w:p>
      <w:r>
        <w:br w:type="page"/>
      </w:r>
    </w:p>
    <w:p>
      <w:pPr>
        <w:spacing w:after="140" w:before="0" w:line="276"/>
      </w:pPr>
      <w:r>
        <w:rPr>
          <w:rFonts w:ascii="Arial" w:cs="Arial" w:eastAsia="Arial" w:hAnsi="Arial"/>
          <w:color w:val="1E2733"/>
          <w:sz w:val="21"/>
          <w:szCs w:val="21"/>
        </w:rPr>
        <w:t xml:space="preserve">Partners choose from a menu of structures; you (the VP) set the final numbers per deal based on channel economics. The placeholders below are where your numbers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Structure</w:t>
            </w:r>
          </w:p>
        </w:tc>
        <w:tc>
          <w:tcPr>
            <w:tcW w:type="dxa" w:w="59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Use It For / Notes</w:t>
            </w:r>
          </w:p>
        </w:tc>
      </w:tr>
      <w:tr>
        <w:tc>
          <w:tcPr>
            <w:tcW w:type="dxa" w:w="3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Referral bounty (one-time)</w:t>
            </w:r>
          </w:p>
        </w:tc>
        <w:tc>
          <w:tcPr>
            <w:tcW w:type="dxa" w:w="59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Model A &amp; C members — $[__] per funded deal or per subscription placed.</w:t>
            </w:r>
          </w:p>
        </w:tc>
      </w:tr>
      <w:tr>
        <w:tc>
          <w:tcPr>
            <w:tcW w:type="dxa" w:w="3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Recurring override</w:t>
            </w:r>
          </w:p>
        </w:tc>
        <w:tc>
          <w:tcPr>
            <w:tcW w:type="dxa" w:w="59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Model A/B — [__]% of subscription residual on accounts they place, ongoing.</w:t>
            </w:r>
          </w:p>
        </w:tc>
      </w:tr>
      <w:tr>
        <w:tc>
          <w:tcPr>
            <w:tcW w:type="dxa" w:w="3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Per-funded-deal bounty</w:t>
            </w:r>
          </w:p>
        </w:tc>
        <w:tc>
          <w:tcPr>
            <w:tcW w:type="dxa" w:w="59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Funding referrals — $[__] or [__]% of the funding commission.</w:t>
            </w:r>
          </w:p>
        </w:tc>
      </w:tr>
      <w:tr>
        <w:tc>
          <w:tcPr>
            <w:tcW w:type="dxa" w:w="3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Org-level override</w:t>
            </w:r>
          </w:p>
        </w:tc>
        <w:tc>
          <w:tcPr>
            <w:tcW w:type="dxa" w:w="59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Model B — [__]% on a recruited force's total production, paid to the partner org.</w:t>
            </w:r>
          </w:p>
        </w:tc>
      </w:tr>
      <w:tr>
        <w:tc>
          <w:tcPr>
            <w:tcW w:type="dxa" w:w="3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Sponsorship / endorsed-vendor fee</w:t>
            </w:r>
          </w:p>
        </w:tc>
        <w:tc>
          <w:tcPr>
            <w:tcW w:type="dxa" w:w="59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Model C — $[__] to the association; ROI measured in member sign-ups.</w:t>
            </w:r>
          </w:p>
        </w:tc>
      </w:tr>
      <w:tr>
        <w:tc>
          <w:tcPr>
            <w:tcW w:type="dxa" w:w="3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Managed campaign</w:t>
            </w:r>
          </w:p>
        </w:tc>
        <w:tc>
          <w:tcPr>
            <w:tcW w:type="dxa" w:w="59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Model D — [hourly rate] + [per-sale bonus], scoped paid pilot first.</w:t>
            </w:r>
          </w:p>
        </w:tc>
      </w:tr>
    </w:tbl>
    <w:p>
      <w:pPr>
        <w:spacing w:after="16"/>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KEEP THE INTERNALS INTERNAL</w:t>
            </w:r>
          </w:p>
          <w:p>
            <w:pPr>
              <w:spacing w:after="0" w:line="280"/>
            </w:pPr>
            <w:r>
              <w:rPr>
                <w:rFonts w:ascii="Arial" w:cs="Arial" w:eastAsia="Arial" w:hAnsi="Arial"/>
                <w:b/>
                <w:bCs/>
                <w:color w:val="0C2438"/>
                <w:sz w:val="21"/>
                <w:szCs w:val="21"/>
              </w:rPr>
              <w:t xml:space="preserve">Partners only ever see agent-facing compensation. </w:t>
            </w:r>
            <w:r>
              <w:rPr>
                <w:rFonts w:ascii="Arial" w:cs="Arial" w:eastAsia="Arial" w:hAnsi="Arial"/>
                <w:color w:val="0C2438"/>
                <w:sz w:val="21"/>
                <w:szCs w:val="21"/>
              </w:rPr>
              <w:t xml:space="preserve">Wholesale product costs, EBITDA splits, and the MCA funding waterfall stay internal — never in a partner deck, email, or agreement.</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COMPLIANCE GUARDRAILS</w:t>
      </w:r>
    </w:p>
    <w:p>
      <w:pPr>
        <w:pStyle w:val="ListParagraph"/>
        <w:numPr>
          <w:ilvl w:val="0"/>
          <w:numId w:val="2"/>
        </w:numPr>
        <w:spacing w:after="56" w:line="268"/>
      </w:pPr>
      <w:r>
        <w:rPr>
          <w:rFonts w:ascii="Arial" w:cs="Arial" w:eastAsia="Arial" w:hAnsi="Arial"/>
          <w:b/>
          <w:bCs/>
          <w:color w:val="0C2438"/>
          <w:sz w:val="21"/>
          <w:szCs w:val="21"/>
        </w:rPr>
        <w:t xml:space="preserve">Honest income framing. </w:t>
      </w:r>
      <w:r>
        <w:rPr>
          <w:rFonts w:ascii="Arial" w:cs="Arial" w:eastAsia="Arial" w:hAnsi="Arial"/>
          <w:color w:val="1E2733"/>
          <w:sz w:val="21"/>
          <w:szCs w:val="21"/>
        </w:rPr>
        <w:t xml:space="preserve">No earnings guarantees in any partner material; mirror the disclaimers already in our recruiting and sales docs.</w:t>
      </w:r>
    </w:p>
    <w:p>
      <w:pPr>
        <w:pStyle w:val="ListParagraph"/>
        <w:numPr>
          <w:ilvl w:val="0"/>
          <w:numId w:val="2"/>
        </w:numPr>
        <w:spacing w:after="56" w:line="268"/>
      </w:pPr>
      <w:r>
        <w:rPr>
          <w:rFonts w:ascii="Arial" w:cs="Arial" w:eastAsia="Arial" w:hAnsi="Arial"/>
          <w:b/>
          <w:bCs/>
          <w:color w:val="0C2438"/>
          <w:sz w:val="21"/>
          <w:szCs w:val="21"/>
        </w:rPr>
        <w:t xml:space="preserve">Independent-contractor &amp; anti-pyramid language. </w:t>
      </w:r>
      <w:r>
        <w:rPr>
          <w:rFonts w:ascii="Arial" w:cs="Arial" w:eastAsia="Arial" w:hAnsi="Arial"/>
          <w:color w:val="1E2733"/>
          <w:sz w:val="21"/>
          <w:szCs w:val="21"/>
        </w:rPr>
        <w:t xml:space="preserve">In every partner agreement; compensation tied to real product/funding sales, never to recruitment alone.</w:t>
      </w:r>
    </w:p>
    <w:p>
      <w:pPr>
        <w:pStyle w:val="ListParagraph"/>
        <w:numPr>
          <w:ilvl w:val="0"/>
          <w:numId w:val="2"/>
        </w:numPr>
        <w:spacing w:after="56" w:line="268"/>
      </w:pPr>
      <w:r>
        <w:rPr>
          <w:rFonts w:ascii="Arial" w:cs="Arial" w:eastAsia="Arial" w:hAnsi="Arial"/>
          <w:b/>
          <w:bCs/>
          <w:color w:val="0C2438"/>
          <w:sz w:val="21"/>
          <w:szCs w:val="21"/>
        </w:rPr>
        <w:t xml:space="preserve">Telemarketing compliance. </w:t>
      </w:r>
      <w:r>
        <w:rPr>
          <w:rFonts w:ascii="Arial" w:cs="Arial" w:eastAsia="Arial" w:hAnsi="Arial"/>
          <w:color w:val="1E2733"/>
          <w:sz w:val="21"/>
          <w:szCs w:val="21"/>
        </w:rPr>
        <w:t xml:space="preserve">For any call-center / telesales channel: TCPA compliance, brand safety, and LeaderShield-controlled scripts, disclosures, and lead sources.</w:t>
      </w:r>
    </w:p>
    <w:p>
      <w:pPr>
        <w:pStyle w:val="ListParagraph"/>
        <w:numPr>
          <w:ilvl w:val="0"/>
          <w:numId w:val="2"/>
        </w:numPr>
        <w:spacing w:after="140" w:line="268"/>
      </w:pPr>
      <w:r>
        <w:rPr>
          <w:rFonts w:ascii="Arial" w:cs="Arial" w:eastAsia="Arial" w:hAnsi="Arial"/>
          <w:b/>
          <w:bCs/>
          <w:color w:val="0C2438"/>
          <w:sz w:val="21"/>
          <w:szCs w:val="21"/>
        </w:rPr>
        <w:t xml:space="preserve">Vet before you sign. </w:t>
      </w:r>
      <w:r>
        <w:rPr>
          <w:rFonts w:ascii="Arial" w:cs="Arial" w:eastAsia="Arial" w:hAnsi="Arial"/>
          <w:color w:val="1E2733"/>
          <w:sz w:val="21"/>
          <w:szCs w:val="21"/>
        </w:rPr>
        <w:t xml:space="preserve">Screen direct-sales and telesales partners for reputation and compliance; route every partner agreement through counsel.</w:t>
      </w:r>
    </w:p>
    <w:p>
      <w:pPr>
        <w:spacing w:after="120"/>
      </w:pPr>
      <w:r>
        <w:rPr>
          <w:rFonts w:ascii="Arial" w:cs="Arial" w:eastAsia="Arial" w:hAnsi="Arial"/>
        </w:rPr>
        <w:t xml:space="preserve"/>
      </w:r>
    </w:p>
    <w:p>
      <w:pPr>
        <w:spacing w:after="40" w:before="160"/>
        <w:jc w:val="center"/>
      </w:pPr>
      <w:r>
        <w:rPr>
          <w:rFonts w:ascii="Arial" w:cs="Arial" w:eastAsia="Arial" w:hAnsi="Arial"/>
          <w:color w:val="C9A23F"/>
          <w:sz w:val="22"/>
          <w:szCs w:val="22"/>
        </w:rPr>
        <w:t xml:space="preserve">———————————   ◆   ———————————</w:t>
      </w:r>
    </w:p>
    <w:p>
      <w:pPr>
        <w:spacing w:after="20"/>
        <w:jc w:val="center"/>
      </w:pPr>
      <w:r>
        <w:rPr>
          <w:rFonts w:ascii="Georgia" w:cs="Georgia" w:eastAsia="Georgia" w:hAnsi="Georgia"/>
          <w:b/>
          <w:bCs/>
          <w:color w:val="16395C"/>
          <w:spacing w:val="50"/>
          <w:sz w:val="22"/>
          <w:szCs w:val="22"/>
        </w:rPr>
        <w:t xml:space="preserve">LEADERSHIELD</w:t>
      </w:r>
      <w:r>
        <w:rPr>
          <w:rFonts w:ascii="Arial" w:cs="Arial" w:eastAsia="Arial" w:hAnsi="Arial"/>
          <w:color w:val="9A7A28"/>
          <w:sz w:val="12"/>
          <w:szCs w:val="12"/>
        </w:rPr>
        <w:t xml:space="preserve">™</w:t>
      </w:r>
    </w:p>
    <w:p>
      <w:pPr>
        <w:spacing w:after="0"/>
        <w:jc w:val="center"/>
      </w:pPr>
      <w:r>
        <w:rPr>
          <w:rFonts w:ascii="Arial" w:cs="Arial" w:eastAsia="Arial" w:hAnsi="Arial"/>
          <w:color w:val="5C6675"/>
          <w:sz w:val="16"/>
          <w:szCs w:val="16"/>
        </w:rPr>
        <w:t xml:space="preserve">Channel Partnership Playbook  •  Internal Strategy Resource  •  LeaderShield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6"/>
      </w:pBdr>
      <w:spacing w:before="0"/>
      <w:jc w:val="center"/>
    </w:pPr>
    <w:r>
      <w:rPr>
        <w:rFonts w:ascii="Arial" w:cs="Arial" w:eastAsia="Arial" w:hAnsi="Arial"/>
        <w:color w:val="5C6675"/>
        <w:sz w:val="14"/>
        <w:szCs w:val="14"/>
      </w:rPr>
      <w:t xml:space="preserve">Internal Strategy Resource</w:t>
    </w:r>
    <w:r>
      <w:rPr>
        <w:rFonts w:ascii="Arial" w:cs="Arial" w:eastAsia="Arial" w:hAnsi="Arial"/>
        <w:color w:val="5C6675"/>
        <w:sz w:val="14"/>
        <w:szCs w:val="14"/>
      </w:rPr>
      <w:t xml:space="preserve">          Page </w:t>
    </w:r>
    <w:r>
      <w:rPr>
        <w:rFonts w:ascii="Arial" w:cs="Arial" w:eastAsia="Arial" w:hAnsi="Arial"/>
        <w:b/>
        <w:bCs/>
        <w:color w:val="16395C"/>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space="6"/>
      </w:pBdr>
      <w:spacing w:after="0"/>
      <w:jc w:val="left"/>
    </w:pPr>
    <w:r>
      <w:rPr>
        <w:rFonts w:ascii="Georgia" w:cs="Georgia" w:eastAsia="Georgia" w:hAnsi="Georgia"/>
        <w:b/>
        <w:bCs/>
        <w:color w:val="16395C"/>
        <w:spacing w:val="30"/>
        <w:sz w:val="14"/>
        <w:szCs w:val="14"/>
      </w:rPr>
      <w:t xml:space="preserve">LEADERSHIELD</w:t>
    </w:r>
    <w:r>
      <w:rPr>
        <w:rFonts w:ascii="Arial" w:cs="Arial" w:eastAsia="Arial" w:hAnsi="Arial"/>
        <w:color w:val="5C6675"/>
        <w:sz w:val="14"/>
        <w:szCs w:val="14"/>
      </w:rPr>
      <w:t xml:space="preserve">   Channel Partnership Playbook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2E6E9E"/>
      </w:rPr>
    </w:lvl>
  </w:abstractNum>
  <w:abstractNum w:abstractNumId="3" w15:restartNumberingAfterBreak="0">
    <w:multiLevelType w:val="hybridMultilevel"/>
    <w:lvl w:ilvl="0" w15:tentative="1">
      <w:start w:val="1"/>
      <w:numFmt w:val="bullet"/>
      <w:lvlText w:val="▪"/>
      <w:lvlJc w:val="left"/>
      <w:rPr>
        <w:color w:val="9A7A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00cee9797c7f6a1fcd1460b34b792425bf11ba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Channel Partnership Playbook</dc:title>
  <dc:creator>LeaderShield</dc:creator>
  <dc:description>Four-model channel partnership strategy</dc:description>
  <cp:lastModifiedBy>Un-named</cp:lastModifiedBy>
  <cp:revision>1</cp:revision>
  <dcterms:created xsi:type="dcterms:W3CDTF">2026-06-18T21:16:04.689Z</dcterms:created>
  <dcterms:modified xsi:type="dcterms:W3CDTF">2026-06-18T21:16:04.707Z</dcterms:modified>
</cp:coreProperties>
</file>

<file path=docProps/custom.xml><?xml version="1.0" encoding="utf-8"?>
<Properties xmlns="http://schemas.openxmlformats.org/officeDocument/2006/custom-properties" xmlns:vt="http://schemas.openxmlformats.org/officeDocument/2006/docPropsVTypes"/>
</file>