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23F" w:sz="14" w:space="1"/>
        </w:pBd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single" w:color="C9A23F" w:sz="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639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20"/>
                <w:szCs w:val="20"/>
              </w:rPr>
              <w:t xml:space="preserve">LEADERSHIELD</w:t>
            </w:r>
            <w:r>
              <w:rPr>
                <w:rFonts w:ascii="Arial" w:cs="Arial" w:eastAsia="Arial" w:hAnsi="Arial"/>
                <w:color w:val="C9A23F"/>
                <w:sz w:val="11"/>
                <w:szCs w:val="11"/>
              </w:rPr>
              <w:t xml:space="preserve">™</w:t>
            </w:r>
            <w:r>
              <w:rPr>
                <w:rFonts w:ascii="Arial" w:cs="Arial" w:eastAsia="Arial" w:hAnsi="Arial"/>
                <w:color w:val="C9A23F"/>
                <w:sz w:val="18"/>
                <w:szCs w:val="18"/>
              </w:rPr>
              <w:t xml:space="preserve">    |    </w:t>
            </w:r>
            <w:r>
              <w:rPr>
                <w:rFonts w:ascii="Arial" w:cs="Arial" w:eastAsia="Arial" w:hAnsi="Arial"/>
                <w:b/>
                <w:bCs/>
                <w:color w:val="C9A23F"/>
                <w:spacing w:val="14"/>
                <w:sz w:val="18"/>
                <w:szCs w:val="18"/>
              </w:rPr>
              <w:t xml:space="preserve">AGENT QUICK REFERENCE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Commission Quick Reference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60" w:before="50" w:line="248"/>
      </w:pP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Paid monthly on collected revenue</w:t>
      </w:r>
      <w:r>
        <w:rPr>
          <w:rFonts w:ascii="Arial" w:cs="Arial" w:eastAsia="Arial" w:hAnsi="Arial"/>
          <w:color w:val="C9A23F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Your level is recalculated every month</w:t>
      </w:r>
      <w:r>
        <w:rPr>
          <w:rFonts w:ascii="Arial" w:cs="Arial" w:eastAsia="Arial" w:hAnsi="Arial"/>
          <w:color w:val="C9A23F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No permanent tiers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PRODUCTS &amp; YOUR EARNING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Retail Price</w:t>
            </w:r>
          </w:p>
        </w:tc>
        <w:tc>
          <w:tcPr>
            <w:tcW w:type="dxa" w:w="29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Commissionable Basis</w:t>
            </w:r>
          </w:p>
        </w:tc>
      </w:tr>
      <w:tr>
        <w:tc>
          <w:tcPr>
            <w:tcW w:type="dxa" w:w="3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Starter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$149</w:t>
            </w:r>
          </w:p>
        </w:tc>
        <w:tc>
          <w:tcPr>
            <w:tcW w:type="dxa" w:w="29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$90</w:t>
            </w:r>
          </w:p>
        </w:tc>
      </w:tr>
      <w:tr>
        <w:tc>
          <w:tcPr>
            <w:tcW w:type="dxa" w:w="3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Growth Foundation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$497</w:t>
            </w:r>
          </w:p>
        </w:tc>
        <w:tc>
          <w:tcPr>
            <w:tcW w:type="dxa" w:w="29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$322</w:t>
            </w:r>
          </w:p>
        </w:tc>
      </w:tr>
      <w:tr>
        <w:tc>
          <w:tcPr>
            <w:tcW w:type="dxa" w:w="3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Revenue Growth System </w:t>
            </w:r>
            <w:r>
              <w:rPr>
                <w:rFonts w:ascii="Arial" w:cs="Arial" w:eastAsia="Arial" w:hAnsi="Arial"/>
                <w:color w:val="C9A23F"/>
                <w:sz w:val="16"/>
                <w:szCs w:val="16"/>
              </w:rPr>
              <w:t xml:space="preserve">★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$997</w:t>
            </w:r>
          </w:p>
        </w:tc>
        <w:tc>
          <w:tcPr>
            <w:tcW w:type="dxa" w:w="29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$697</w:t>
            </w:r>
          </w:p>
        </w:tc>
      </w:tr>
      <w:tr>
        <w:tc>
          <w:tcPr>
            <w:tcW w:type="dxa" w:w="3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Revenue Scale AI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$1,497</w:t>
            </w:r>
          </w:p>
        </w:tc>
        <w:tc>
          <w:tcPr>
            <w:tcW w:type="dxa" w:w="29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$897</w:t>
            </w:r>
          </w:p>
        </w:tc>
      </w:tr>
    </w:tbl>
    <w:p>
      <w:pPr>
        <w:spacing w:after="60" w:before="50" w:line="248"/>
      </w:pPr>
      <w:r>
        <w:rPr>
          <w:rFonts w:ascii="Arial" w:cs="Arial" w:eastAsia="Arial" w:hAnsi="Arial"/>
          <w:color w:val="5C6675"/>
          <w:sz w:val="18"/>
          <w:szCs w:val="18"/>
        </w:rPr>
        <w:t xml:space="preserve">★ Revenue Growth System is the flagship — most merchants belong here, and it's where most of your recurring income comes from.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SUBSCRIPTION COMMISSION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rPr>
          <w:tblHeader/>
        </w:trPr>
        <w:tc>
          <w:tcPr>
            <w:tcW w:type="dxa" w:w="21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Level</w:t>
            </w:r>
          </w:p>
        </w:tc>
        <w:tc>
          <w:tcPr>
            <w:tcW w:type="dxa" w:w="181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Starter</w:t>
            </w:r>
          </w:p>
        </w:tc>
        <w:tc>
          <w:tcPr>
            <w:tcW w:type="dxa" w:w="181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Growth Foundation</w:t>
            </w:r>
          </w:p>
        </w:tc>
        <w:tc>
          <w:tcPr>
            <w:tcW w:type="dxa" w:w="181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Revenue Growth System</w:t>
            </w:r>
          </w:p>
        </w:tc>
        <w:tc>
          <w:tcPr>
            <w:tcW w:type="dxa" w:w="181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Revenue Scale AI</w:t>
            </w:r>
          </w:p>
        </w:tc>
      </w:tr>
      <w:tr>
        <w:tc>
          <w:tcPr>
            <w:tcW w:type="dxa" w:w="21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Standard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1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Enhanced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30%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50%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50%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1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Elite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35%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55%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55%</w:t>
            </w:r>
          </w:p>
        </w:tc>
        <w:tc>
          <w:tcPr>
            <w:tcW w:type="dxa" w:w="181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55%</w:t>
            </w:r>
          </w:p>
        </w:tc>
      </w:tr>
    </w:tbl>
    <w:p>
      <w:pPr>
        <w:spacing w:after="60" w:before="50" w:line="248"/>
      </w:pPr>
      <w:r>
        <w:rPr>
          <w:rFonts w:ascii="Arial" w:cs="Arial" w:eastAsia="Arial" w:hAnsi="Arial"/>
          <w:color w:val="5C6675"/>
          <w:sz w:val="18"/>
          <w:szCs w:val="18"/>
        </w:rPr>
        <w:t xml:space="preserve">Rate is applied to the commissionable basis above. </w:t>
      </w:r>
      <w:r>
        <w:rPr>
          <w:rFonts w:ascii="Arial" w:cs="Arial" w:eastAsia="Arial" w:hAnsi="Arial"/>
          <w:b/>
          <w:bCs/>
          <w:color w:val="9A7A28"/>
          <w:sz w:val="18"/>
          <w:szCs w:val="18"/>
        </w:rPr>
        <w:t xml:space="preserve">Premium products earn up to +5% more via accelerators → 60% max at Elite. </w:t>
      </w:r>
      <w:r>
        <w:rPr>
          <w:rFonts w:ascii="Arial" w:cs="Arial" w:eastAsia="Arial" w:hAnsi="Arial"/>
          <w:color w:val="5C6675"/>
          <w:sz w:val="18"/>
          <w:szCs w:val="18"/>
        </w:rPr>
        <w:t xml:space="preserve">(Starter has no accelerators.)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HOW EACH SUBSCRIPTION PAYS OVER TIME</w:t>
      </w:r>
    </w:p>
    <w:p>
      <w:pPr>
        <w:spacing w:after="60" w:before="50" w:line="248"/>
      </w:pP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Growth Foundation · Revenue Growth System · Revenue Scale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Level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1–3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4–6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7–9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10–12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Standard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Enhanced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50%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Elite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55%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45%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spacing w:after="60" w:before="50" w:line="248"/>
      </w:pP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Starter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Level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1–3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4–6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Months 7–12</w:t>
            </w:r>
          </w:p>
        </w:tc>
        <w:tc>
          <w:tcPr>
            <w:tcW w:type="dxa" w:w="1755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Month 13+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Standard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15%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Enhanced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Elite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30%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25%</w:t>
            </w:r>
          </w:p>
        </w:tc>
        <w:tc>
          <w:tcPr>
            <w:tcW w:type="dxa" w:w="1755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—</w:t>
            </w:r>
          </w:p>
        </w:tc>
      </w:tr>
    </w:tbl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LIFETIME RESIDUAL INCOME · MONTH 13+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Growth Foundation</w:t>
            </w:r>
          </w:p>
        </w:tc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Revenue Growth System</w:t>
            </w:r>
          </w:p>
        </w:tc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Revenue Scale AI</w:t>
            </w:r>
          </w:p>
        </w:tc>
        <w:tc>
          <w:tcPr>
            <w:tcW w:type="dxa" w:w="234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675"/>
                <w:sz w:val="20"/>
                <w:szCs w:val="20"/>
              </w:rPr>
              <w:t xml:space="preserve">Not eligible</w:t>
            </w:r>
          </w:p>
        </w:tc>
      </w:tr>
    </w:tbl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HOW TO REACH EACH LEVEL · MEET ANY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60"/>
        <w:gridCol w:w="27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Level</w:t>
            </w:r>
          </w:p>
        </w:tc>
        <w:tc>
          <w:tcPr>
            <w:tcW w:type="dxa" w:w="24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Funded Volume</w:t>
            </w:r>
          </w:p>
        </w:tc>
        <w:tc>
          <w:tcPr>
            <w:tcW w:type="dxa" w:w="27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Collected Subs</w:t>
            </w:r>
          </w:p>
        </w:tc>
        <w:tc>
          <w:tcPr>
            <w:tcW w:type="dxa" w:w="23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Active Subs</w:t>
            </w:r>
          </w:p>
        </w:tc>
      </w:tr>
      <w:tr>
        <w:tc>
          <w:tcPr>
            <w:tcW w:type="dxa" w:w="19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Standard</w:t>
            </w:r>
          </w:p>
        </w:tc>
        <w:tc>
          <w:tcPr>
            <w:tcW w:type="dxa" w:w="24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Starting level</w:t>
            </w:r>
          </w:p>
        </w:tc>
        <w:tc>
          <w:tcPr>
            <w:tcW w:type="dxa" w:w="27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Enhanced</w:t>
            </w:r>
          </w:p>
        </w:tc>
        <w:tc>
          <w:tcPr>
            <w:tcW w:type="dxa" w:w="24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$75,000</w:t>
            </w:r>
          </w:p>
        </w:tc>
        <w:tc>
          <w:tcPr>
            <w:tcW w:type="dxa" w:w="27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$2,500 / mo</w:t>
            </w:r>
          </w:p>
        </w:tc>
        <w:tc>
          <w:tcPr>
            <w:tcW w:type="dxa" w:w="2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Elite</w:t>
            </w:r>
          </w:p>
        </w:tc>
        <w:tc>
          <w:tcPr>
            <w:tcW w:type="dxa" w:w="24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$250,000</w:t>
            </w:r>
          </w:p>
        </w:tc>
        <w:tc>
          <w:tcPr>
            <w:tcW w:type="dxa" w:w="27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$7,500 / mo</w:t>
            </w:r>
          </w:p>
        </w:tc>
        <w:tc>
          <w:tcPr>
            <w:tcW w:type="dxa" w:w="2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8</w:t>
            </w:r>
          </w:p>
        </w:tc>
      </w:tr>
    </w:tbl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PERFORMANCE ACCELERATORS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Stream</w:t>
            </w:r>
          </w:p>
        </w:tc>
        <w:tc>
          <w:tcPr>
            <w:tcW w:type="dxa" w:w="24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Maximum Boost</w:t>
            </w:r>
          </w:p>
        </w:tc>
        <w:tc>
          <w:tcPr>
            <w:tcW w:type="dxa" w:w="24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5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+5%</w:t>
            </w:r>
          </w:p>
        </w:tc>
        <w:tc>
          <w:tcPr>
            <w:tcW w:type="dxa" w:w="2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Premium products → 60% top rate</w:t>
            </w:r>
          </w:p>
        </w:tc>
      </w:tr>
      <w:tr>
        <w:tc>
          <w:tcPr>
            <w:tcW w:type="dxa" w:w="45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Funding (MCA)</w:t>
            </w:r>
          </w:p>
        </w:tc>
        <w:tc>
          <w:tcPr>
            <w:tcW w:type="dxa" w:w="2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+2.5%</w:t>
            </w:r>
          </w:p>
        </w:tc>
        <w:tc>
          <w:tcPr>
            <w:tcW w:type="dxa" w:w="24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Added to your producer share</w:t>
            </w:r>
          </w:p>
        </w:tc>
      </w:tr>
    </w:tbl>
    <w:p>
      <w:pPr>
        <w:spacing w:after="60" w:before="50" w:line="248"/>
      </w:pPr>
      <w:r>
        <w:rPr>
          <w:rFonts w:ascii="Arial" w:cs="Arial" w:eastAsia="Arial" w:hAnsi="Arial"/>
          <w:color w:val="5C6675"/>
          <w:sz w:val="18"/>
          <w:szCs w:val="18"/>
        </w:rPr>
        <w:t xml:space="preserve">Earned through volume, retention, premium product mix, and strong merchant outcomes.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FUNDING COMMISSIONS · YOUR PRODUCER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rPr>
          <w:tblHeader/>
        </w:trPr>
        <w:tc>
          <w:tcPr>
            <w:tcW w:type="dxa" w:w="61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How You're Set Up</w:t>
            </w:r>
          </w:p>
        </w:tc>
        <w:tc>
          <w:tcPr>
            <w:tcW w:type="dxa" w:w="32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Your Producer Share</w:t>
            </w:r>
          </w:p>
        </w:tc>
      </w:tr>
      <w:tr>
        <w:tc>
          <w:tcPr>
            <w:tcW w:type="dxa" w:w="61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Independent Producer</w:t>
            </w:r>
          </w:p>
        </w:tc>
        <w:tc>
          <w:tcPr>
            <w:tcW w:type="dxa" w:w="32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32.5%</w:t>
            </w:r>
          </w:p>
        </w:tc>
      </w:tr>
      <w:tr>
        <w:tc>
          <w:tcPr>
            <w:tcW w:type="dxa" w:w="61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Small Agency</w:t>
            </w:r>
          </w:p>
        </w:tc>
        <w:tc>
          <w:tcPr>
            <w:tcW w:type="dxa" w:w="32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29.5%</w:t>
            </w:r>
          </w:p>
        </w:tc>
      </w:tr>
      <w:tr>
        <w:tc>
          <w:tcPr>
            <w:tcW w:type="dxa" w:w="61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Leadership Organization</w:t>
            </w:r>
          </w:p>
        </w:tc>
        <w:tc>
          <w:tcPr>
            <w:tcW w:type="dxa" w:w="32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27.5%</w:t>
            </w:r>
          </w:p>
        </w:tc>
      </w:tr>
      <w:tr>
        <w:tc>
          <w:tcPr>
            <w:tcW w:type="dxa" w:w="61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Large Recruiting Organization</w:t>
            </w:r>
          </w:p>
        </w:tc>
        <w:tc>
          <w:tcPr>
            <w:tcW w:type="dxa" w:w="32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24.5%</w:t>
            </w:r>
          </w:p>
        </w:tc>
      </w:tr>
    </w:tbl>
    <w:p>
      <w:pPr>
        <w:spacing w:after="60" w:before="50" w:line="248"/>
      </w:pPr>
      <w:r>
        <w:rPr>
          <w:rFonts w:ascii="Arial" w:cs="Arial" w:eastAsia="Arial" w:hAnsi="Arial"/>
          <w:b/>
          <w:bCs/>
          <w:color w:val="0C2438"/>
          <w:sz w:val="18"/>
          <w:szCs w:val="18"/>
        </w:rPr>
        <w:t xml:space="preserve">Example:  </w:t>
      </w:r>
      <w:r>
        <w:rPr>
          <w:rFonts w:ascii="Arial" w:cs="Arial" w:eastAsia="Arial" w:hAnsi="Arial"/>
          <w:color w:val="1E2733"/>
          <w:sz w:val="18"/>
          <w:szCs w:val="18"/>
        </w:rPr>
        <w:t xml:space="preserve">a $100,000 funding generates ≈ $12,000 in commission → an Independent Producer earns </w:t>
      </w:r>
      <w:r>
        <w:rPr>
          <w:rFonts w:ascii="Arial" w:cs="Arial" w:eastAsia="Arial" w:hAnsi="Arial"/>
          <w:b/>
          <w:bCs/>
          <w:color w:val="9A7A28"/>
          <w:sz w:val="18"/>
          <w:szCs w:val="18"/>
        </w:rPr>
        <w:t xml:space="preserve">≈ $3,900</w:t>
      </w:r>
      <w:r>
        <w:rPr>
          <w:rFonts w:ascii="Arial" w:cs="Arial" w:eastAsia="Arial" w:hAnsi="Arial"/>
          <w:color w:val="1E2733"/>
          <w:sz w:val="18"/>
          <w:szCs w:val="18"/>
        </w:rPr>
        <w:t xml:space="preserve">.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TEAM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Your Role</w:t>
            </w:r>
          </w:p>
        </w:tc>
        <w:tc>
          <w:tcPr>
            <w:tcW w:type="dxa" w:w="30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Producer Keeps</w:t>
            </w:r>
          </w:p>
        </w:tc>
        <w:tc>
          <w:tcPr>
            <w:tcW w:type="dxa" w:w="30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Your Override</w:t>
            </w:r>
          </w:p>
        </w:tc>
      </w:tr>
      <w:tr>
        <w:tc>
          <w:tcPr>
            <w:tcW w:type="dxa" w:w="3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90%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Leadership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85%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3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Recruiting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80%</w:t>
            </w:r>
          </w:p>
        </w:tc>
        <w:tc>
          <w:tcPr>
            <w:tcW w:type="dxa" w:w="30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A7A28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60" w:before="50" w:line="248"/>
      </w:pPr>
      <w:r>
        <w:rPr>
          <w:rFonts w:ascii="Arial" w:cs="Arial" w:eastAsia="Arial" w:hAnsi="Arial"/>
          <w:color w:val="5C6675"/>
          <w:sz w:val="18"/>
          <w:szCs w:val="18"/>
        </w:rPr>
        <w:t xml:space="preserve">Overrides reach 3 levels deep — Level 1: 80% · Level 2: 15% · Level 3: 5%. Applies to both subscription and funding production.</w:t>
      </w:r>
    </w:p>
    <w:p>
      <w:pPr>
        <w:keepNext/>
        <w:pBdr>
          <w:bottom w:val="single" w:color="C9A23F" w:sz="8" w:space="4"/>
        </w:pBdr>
        <w:spacing w:after="60" w:before="130"/>
      </w:pPr>
      <w:r>
        <w:rPr>
          <w:rFonts w:ascii="Arial" w:cs="Arial" w:eastAsia="Arial" w:hAnsi="Arial"/>
          <w:b/>
          <w:bCs/>
          <w:color w:val="16395C"/>
          <w:spacing w:val="12"/>
          <w:sz w:val="19"/>
          <w:szCs w:val="19"/>
        </w:rPr>
        <w:t xml:space="preserve">MEMBERSHIP</w:t>
      </w:r>
    </w:p>
    <w:tbl>
      <w:tblPr>
        <w:tblW w:type="dxa" w:w="9360"/>
        <w:tblBorders>
          <w:top w:val="single" w:color="F7F0DC" w:sz="2"/>
          <w:left w:val="single" w:color="C9A23F" w:sz="30"/>
          <w:bottom w:val="single" w:color="F7F0DC" w:sz="2"/>
          <w:right w:val="single" w:color="F7F0D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0DC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28"/>
                <w:spacing w:val="18"/>
                <w:sz w:val="17"/>
                <w:szCs w:val="17"/>
              </w:rPr>
              <w:t xml:space="preserve">AGENT MEMBERSHIP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$99 / month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  —  waived automatically in any month you collect $500 or more in commissions.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  <w:jc w:val="center"/>
      </w:pPr>
      <w:r>
        <w:rPr>
          <w:rFonts w:ascii="Georgia" w:cs="Georgia" w:eastAsia="Georgia" w:hAnsi="Georgia"/>
          <w:b/>
          <w:bCs/>
          <w:color w:val="16395C"/>
          <w:spacing w:val="40"/>
          <w:sz w:val="16"/>
          <w:szCs w:val="16"/>
        </w:rPr>
        <w:t xml:space="preserve">LEADERSHIELD</w:t>
      </w:r>
      <w:r>
        <w:rPr>
          <w:rFonts w:ascii="Arial" w:cs="Arial" w:eastAsia="Arial" w:hAnsi="Arial"/>
          <w:color w:val="9A7A28"/>
          <w:sz w:val="10"/>
          <w:szCs w:val="10"/>
        </w:rPr>
        <w:t xml:space="preserve">™  </w:t>
      </w:r>
      <w:r>
        <w:rPr>
          <w:rFonts w:ascii="Arial" w:cs="Arial" w:eastAsia="Arial" w:hAnsi="Arial"/>
          <w:color w:val="5C6675"/>
          <w:sz w:val="15"/>
          <w:szCs w:val="15"/>
        </w:rPr>
        <w:t xml:space="preserve">Agent Commission Quick Reference  ·  Use alongside the full Agent Commission Guide</w:t>
      </w:r>
    </w:p>
    <w:sectPr>
      <w:footerReference w:type="default" r:id="rId7"/>
      <w:pgSz w:w="12240" w:h="15840" w:orient="portrait"/>
      <w:pgMar w:top="900" w:right="144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6"/>
      </w:pBdr>
      <w:spacing w:before="0"/>
      <w:jc w:val="center"/>
    </w:pPr>
    <w:r>
      <w:rPr>
        <w:rFonts w:ascii="Arial" w:cs="Arial" w:eastAsia="Arial" w:hAnsi="Arial"/>
        <w:color w:val="5C6675"/>
        <w:sz w:val="14"/>
        <w:szCs w:val="14"/>
      </w:rPr>
      <w:t xml:space="preserve">For Licensed LeaderShield Agents</w:t>
    </w:r>
    <w:r>
      <w:rPr>
        <w:rFonts w:ascii="Arial" w:cs="Arial" w:eastAsia="Arial" w:hAnsi="Arial"/>
        <w:color w:val="5C6675"/>
        <w:sz w:val="14"/>
        <w:szCs w:val="14"/>
      </w:rPr>
      <w:t xml:space="preserve">          Page </w:t>
    </w:r>
    <w:r>
      <w:rPr>
        <w:rFonts w:ascii="Arial" w:cs="Arial" w:eastAsia="Arial" w:hAnsi="Arial"/>
        <w:b/>
        <w:bCs/>
        <w:color w:val="1639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6E9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rPr>
        <w:color w:val="9A7A2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Commission Quick Reference</dc:title>
  <dc:creator>LeaderShield</dc:creator>
  <dc:description>One-look agent commission reference</dc:description>
  <cp:lastModifiedBy>Un-named</cp:lastModifiedBy>
  <cp:revision>1</cp:revision>
  <dcterms:created xsi:type="dcterms:W3CDTF">2026-06-18T17:42:24.901Z</dcterms:created>
  <dcterms:modified xsi:type="dcterms:W3CDTF">2026-06-18T17:42:24.902Z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