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rPr>
        <w:t xml:space="preserve"/>
      </w:r>
    </w:p>
    <w:p>
      <w:pPr>
        <w:pBdr>
          <w:bottom w:val="single" w:color="C9A23F" w:sz="18" w:space="1"/>
        </w:pBdr>
        <w:spacing w:after="40"/>
      </w:pPr>
      <w:r>
        <w:rPr>
          <w:rFonts w:ascii="Arial" w:cs="Arial" w:eastAsia="Arial" w:hAnsi="Arial"/>
        </w:rPr>
        <w:t xml:space="preserve"/>
      </w:r>
    </w:p>
    <w:p>
      <w:pPr>
        <w:spacing w:after="0" w:before="40"/>
        <w:jc w:val="center"/>
      </w:pPr>
      <w:r>
        <w:rPr>
          <w:rFonts w:ascii="Georgia" w:cs="Georgia" w:eastAsia="Georgia" w:hAnsi="Georgia"/>
          <w:b/>
          <w:bCs/>
          <w:color w:val="16395C"/>
          <w:spacing w:val="80"/>
          <w:sz w:val="30"/>
          <w:szCs w:val="30"/>
        </w:rPr>
        <w:t xml:space="preserve">LEADERSHIELD</w:t>
      </w:r>
      <w:r>
        <w:rPr>
          <w:rFonts w:ascii="Arial" w:cs="Arial" w:eastAsia="Arial" w:hAnsi="Arial"/>
          <w:b/>
          <w:bCs/>
          <w:color w:val="9A7A28"/>
          <w:sz w:val="16"/>
          <w:szCs w:val="16"/>
        </w:rPr>
        <w:t xml:space="preserve">™</w:t>
      </w:r>
    </w:p>
    <w:p>
      <w:pPr>
        <w:pBdr>
          <w:bottom w:val="single" w:color="C9A23F" w:sz="18" w:space="1"/>
        </w:pBdr>
        <w:spacing w:after="0" w:before="40"/>
      </w:pPr>
      <w:r>
        <w:rPr>
          <w:rFonts w:ascii="Arial" w:cs="Arial" w:eastAsia="Arial" w:hAnsi="Arial"/>
        </w:rPr>
        <w:t xml:space="preserve"/>
      </w:r>
    </w:p>
    <w:p>
      <w:pPr>
        <w:spacing w:after="280" w:before="460"/>
        <w:jc w:val="center"/>
      </w:pPr>
      <w:r>
        <w:drawing>
          <wp:inline distT="0" distB="0" distL="0" distR="0">
            <wp:extent cx="1866900" cy="2238375"/>
            <wp:effectExtent t="0" r="0" b="0" l="0"/>
            <wp:docPr id="1" name="shield" descr="Shield with ascending chevrons" title="LeaderShield em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66900" cy="2238375"/>
                    </a:xfrm>
                    <a:prstGeom prst="rect">
                      <a:avLst/>
                    </a:prstGeom>
                  </pic:spPr>
                </pic:pic>
              </a:graphicData>
            </a:graphic>
          </wp:inline>
        </w:drawing>
      </w:r>
    </w:p>
    <w:p>
      <w:pPr>
        <w:spacing w:after="0"/>
        <w:jc w:val="center"/>
      </w:pPr>
      <w:r>
        <w:rPr>
          <w:rFonts w:ascii="Georgia" w:cs="Georgia" w:eastAsia="Georgia" w:hAnsi="Georgia"/>
          <w:b/>
          <w:bCs/>
          <w:color w:val="0C2438"/>
          <w:sz w:val="46"/>
          <w:szCs w:val="46"/>
        </w:rPr>
        <w:t xml:space="preserve">COMPENSATION ARCHITECTURE</w:t>
      </w:r>
    </w:p>
    <w:p>
      <w:pPr>
        <w:spacing w:after="200" w:before="30"/>
        <w:jc w:val="center"/>
      </w:pPr>
      <w:r>
        <w:rPr>
          <w:rFonts w:ascii="Georgia" w:cs="Georgia" w:eastAsia="Georgia" w:hAnsi="Georgia"/>
          <w:b/>
          <w:bCs/>
          <w:color w:val="0C2438"/>
          <w:sz w:val="46"/>
          <w:szCs w:val="46"/>
        </w:rPr>
        <w:t xml:space="preserve">&amp; ECONOMICS MANUAL</w:t>
      </w:r>
    </w:p>
    <w:p>
      <w:pPr>
        <w:spacing w:after="200"/>
        <w:jc w:val="center"/>
      </w:pPr>
      <w:r>
        <w:rPr>
          <w:rFonts w:ascii="Arial" w:cs="Arial" w:eastAsia="Arial" w:hAnsi="Arial"/>
          <w:color w:val="C9A23F"/>
          <w:sz w:val="22"/>
          <w:szCs w:val="22"/>
        </w:rPr>
        <w:t xml:space="preserve">———————————   ◆   ———————————</w:t>
      </w:r>
    </w:p>
    <w:p>
      <w:pPr>
        <w:spacing w:after="40"/>
        <w:jc w:val="center"/>
      </w:pPr>
      <w:r>
        <w:rPr>
          <w:rFonts w:ascii="Arial" w:cs="Arial" w:eastAsia="Arial" w:hAnsi="Arial"/>
          <w:b/>
          <w:bCs/>
          <w:color w:val="9A7A28"/>
          <w:spacing w:val="40"/>
          <w:sz w:val="22"/>
          <w:szCs w:val="22"/>
        </w:rPr>
        <w:t xml:space="preserve">INTERNAL &amp; CONFIDENTIAL</w:t>
      </w:r>
    </w:p>
    <w:p>
      <w:pPr>
        <w:spacing w:after="520"/>
        <w:jc w:val="center"/>
      </w:pPr>
      <w:r>
        <w:rPr>
          <w:rFonts w:ascii="Arial" w:cs="Arial" w:eastAsia="Arial" w:hAnsi="Arial"/>
          <w:color w:val="5C6675"/>
          <w:spacing w:val="8"/>
          <w:sz w:val="20"/>
          <w:szCs w:val="20"/>
        </w:rPr>
        <w:t xml:space="preserve">Board of Directors  •  Ownership Group  •  Executive Leadership</w:t>
      </w:r>
    </w:p>
    <w:tbl>
      <w:tblPr>
        <w:tblW w:type="dxa" w:w="9360"/>
        <w:tblBorders>
          <w:top w:val="single" w:color="C9A23F" w:sz="6"/>
          <w:left w:val="none"/>
          <w:bottom w:val="single" w:color="C9A23F" w:sz="6"/>
          <w:right w:val="none"/>
          <w:insideH w:val="single" w:color="auto" w:sz="4"/>
          <w:insideV w:val="single" w:color="auto" w:sz="4"/>
        </w:tblBorders>
      </w:tblPr>
      <w:tblGrid>
        <w:gridCol w:w="9360"/>
      </w:tblGrid>
      <w:tr>
        <w:tc>
          <w:tcPr>
            <w:tcW w:type="dxa" w:w="9360"/>
            <w:shd w:fill="16395C" w:val="clear"/>
            <w:tcMar>
              <w:top w:type="dxa" w:w="160"/>
              <w:left w:type="dxa" w:w="200"/>
              <w:bottom w:type="dxa" w:w="160"/>
              <w:right w:type="dxa" w:w="200"/>
            </w:tcMar>
          </w:tcPr>
          <w:p>
            <w:pPr>
              <w:spacing w:after="0"/>
              <w:jc w:val="center"/>
            </w:pPr>
            <w:r>
              <w:rPr>
                <w:rFonts w:ascii="Arial" w:cs="Arial" w:eastAsia="Arial" w:hAnsi="Arial"/>
                <w:b/>
                <w:bCs/>
                <w:color w:val="FFFFFF"/>
                <w:spacing w:val="30"/>
                <w:sz w:val="22"/>
                <w:szCs w:val="22"/>
              </w:rPr>
              <w:t xml:space="preserve">VERSION 1.1</w:t>
            </w:r>
            <w:r>
              <w:rPr>
                <w:rFonts w:ascii="Arial" w:cs="Arial" w:eastAsia="Arial" w:hAnsi="Arial"/>
                <w:color w:val="C9A23F"/>
                <w:sz w:val="22"/>
                <w:szCs w:val="22"/>
              </w:rPr>
              <w:t xml:space="preserve">        |        </w:t>
            </w:r>
            <w:r>
              <w:rPr>
                <w:rFonts w:ascii="Arial" w:cs="Arial" w:eastAsia="Arial" w:hAnsi="Arial"/>
                <w:b/>
                <w:bCs/>
                <w:color w:val="C9A23F"/>
                <w:spacing w:val="16"/>
                <w:sz w:val="22"/>
                <w:szCs w:val="22"/>
              </w:rPr>
              <w:t xml:space="preserve">REVISED EDITION</w:t>
            </w:r>
            <w:r>
              <w:rPr>
                <w:rFonts w:ascii="Arial" w:cs="Arial" w:eastAsia="Arial" w:hAnsi="Arial"/>
                <w:color w:val="C9A23F"/>
                <w:sz w:val="22"/>
                <w:szCs w:val="22"/>
              </w:rPr>
              <w:t xml:space="preserve">        |        </w:t>
            </w:r>
            <w:r>
              <w:rPr>
                <w:rFonts w:ascii="Arial" w:cs="Arial" w:eastAsia="Arial" w:hAnsi="Arial"/>
                <w:b/>
                <w:bCs/>
                <w:color w:val="FFFFFF"/>
                <w:spacing w:val="18"/>
                <w:sz w:val="22"/>
                <w:szCs w:val="22"/>
              </w:rPr>
              <w:t xml:space="preserve">LEADERSHIELD 2026</w:t>
            </w:r>
          </w:p>
        </w:tc>
      </w:tr>
    </w:tbl>
    <w:p>
      <w:r>
        <w:br w:type="page"/>
      </w:r>
    </w:p>
    <w:p>
      <w:pPr>
        <w:keepNext/>
        <w:spacing w:after="40" w:before="160"/>
      </w:pPr>
      <w:r>
        <w:rPr>
          <w:rFonts w:ascii="Arial" w:cs="Arial" w:eastAsia="Arial" w:hAnsi="Arial"/>
          <w:b/>
          <w:bCs/>
          <w:color w:val="9A7A28"/>
          <w:spacing w:val="26"/>
          <w:sz w:val="17"/>
          <w:szCs w:val="17"/>
        </w:rPr>
        <w:t xml:space="preserve">ABOUT THIS MANUAL</w:t>
      </w:r>
    </w:p>
    <w:p>
      <w:pPr>
        <w:pBdr>
          <w:bottom w:val="single" w:color="C9A23F" w:sz="14" w:space="6"/>
        </w:pBdr>
        <w:spacing w:after="180"/>
      </w:pPr>
      <w:r>
        <w:rPr>
          <w:rFonts w:ascii="Georgia" w:cs="Georgia" w:eastAsia="Georgia" w:hAnsi="Georgia"/>
          <w:b/>
          <w:bCs/>
          <w:color w:val="0C2438"/>
          <w:sz w:val="38"/>
          <w:szCs w:val="38"/>
        </w:rPr>
        <w:t xml:space="preserve">Purpose of This Document</w:t>
      </w:r>
    </w:p>
    <w:p>
      <w:pPr>
        <w:spacing w:after="200" w:line="300"/>
      </w:pPr>
      <w:r>
        <w:rPr>
          <w:rFonts w:ascii="Arial" w:cs="Arial" w:eastAsia="Arial" w:hAnsi="Arial"/>
          <w:color w:val="16395C"/>
          <w:sz w:val="23"/>
          <w:szCs w:val="23"/>
        </w:rPr>
        <w:t xml:space="preserve">This document establishes the guiding principles, economic architecture, compensation systems, governance mechanisms, and long-term value-creation framework supporting the LeaderShield ecosystem.</w:t>
      </w:r>
    </w:p>
    <w:p>
      <w:pPr>
        <w:spacing w:after="140" w:before="0" w:line="276"/>
      </w:pPr>
      <w:r>
        <w:rPr>
          <w:rFonts w:ascii="Arial" w:cs="Arial" w:eastAsia="Arial" w:hAnsi="Arial"/>
          <w:color w:val="1E2733"/>
          <w:sz w:val="21"/>
          <w:szCs w:val="21"/>
        </w:rPr>
        <w:t xml:space="preserve">The purpose of this manual is to provide a comprehensive reference for the design and operation of the LeaderShield distribution platform and its associated revenue engines. The document outlines:</w:t>
      </w:r>
    </w:p>
    <w:p>
      <w:pPr>
        <w:pStyle w:val="ListParagraph"/>
        <w:numPr>
          <w:ilvl w:val="0"/>
          <w:numId w:val="2"/>
        </w:numPr>
        <w:spacing w:after="56" w:line="268"/>
      </w:pPr>
      <w:r>
        <w:rPr>
          <w:rFonts w:ascii="Arial" w:cs="Arial" w:eastAsia="Arial" w:hAnsi="Arial"/>
          <w:b/>
          <w:bCs/>
          <w:color w:val="0C2438"/>
          <w:sz w:val="21"/>
          <w:szCs w:val="21"/>
        </w:rPr>
        <w:t xml:space="preserve">Merchant Growth Platform compensation architecture</w:t>
      </w:r>
    </w:p>
    <w:p>
      <w:pPr>
        <w:pStyle w:val="ListParagraph"/>
        <w:numPr>
          <w:ilvl w:val="0"/>
          <w:numId w:val="2"/>
        </w:numPr>
        <w:spacing w:after="56" w:line="268"/>
      </w:pPr>
      <w:r>
        <w:rPr>
          <w:rFonts w:ascii="Arial" w:cs="Arial" w:eastAsia="Arial" w:hAnsi="Arial"/>
          <w:b/>
          <w:bCs/>
          <w:color w:val="0C2438"/>
          <w:sz w:val="21"/>
          <w:szCs w:val="21"/>
        </w:rPr>
        <w:t xml:space="preserve">Merchant Cash Advance compensation architecture</w:t>
      </w:r>
    </w:p>
    <w:p>
      <w:pPr>
        <w:pStyle w:val="ListParagraph"/>
        <w:numPr>
          <w:ilvl w:val="0"/>
          <w:numId w:val="2"/>
        </w:numPr>
        <w:spacing w:after="56" w:line="268"/>
      </w:pPr>
      <w:r>
        <w:rPr>
          <w:rFonts w:ascii="Arial" w:cs="Arial" w:eastAsia="Arial" w:hAnsi="Arial"/>
          <w:b/>
          <w:bCs/>
          <w:color w:val="0C2438"/>
          <w:sz w:val="21"/>
          <w:szCs w:val="21"/>
        </w:rPr>
        <w:t xml:space="preserve">Distributor qualification standards</w:t>
      </w:r>
    </w:p>
    <w:p>
      <w:pPr>
        <w:pStyle w:val="ListParagraph"/>
        <w:numPr>
          <w:ilvl w:val="0"/>
          <w:numId w:val="2"/>
        </w:numPr>
        <w:spacing w:after="56" w:line="268"/>
      </w:pPr>
      <w:r>
        <w:rPr>
          <w:rFonts w:ascii="Arial" w:cs="Arial" w:eastAsia="Arial" w:hAnsi="Arial"/>
          <w:b/>
          <w:bCs/>
          <w:color w:val="0C2438"/>
          <w:sz w:val="21"/>
          <w:szCs w:val="21"/>
        </w:rPr>
        <w:t xml:space="preserve">Performance accelerators</w:t>
      </w:r>
    </w:p>
    <w:p>
      <w:pPr>
        <w:pStyle w:val="ListParagraph"/>
        <w:numPr>
          <w:ilvl w:val="0"/>
          <w:numId w:val="2"/>
        </w:numPr>
        <w:spacing w:after="56" w:line="268"/>
      </w:pPr>
      <w:r>
        <w:rPr>
          <w:rFonts w:ascii="Arial" w:cs="Arial" w:eastAsia="Arial" w:hAnsi="Arial"/>
          <w:b/>
          <w:bCs/>
          <w:color w:val="0C2438"/>
          <w:sz w:val="21"/>
          <w:szCs w:val="21"/>
        </w:rPr>
        <w:t xml:space="preserve">Agency override structures</w:t>
      </w:r>
    </w:p>
    <w:p>
      <w:pPr>
        <w:pStyle w:val="ListParagraph"/>
        <w:numPr>
          <w:ilvl w:val="0"/>
          <w:numId w:val="2"/>
        </w:numPr>
        <w:spacing w:after="56" w:line="268"/>
      </w:pPr>
      <w:r>
        <w:rPr>
          <w:rFonts w:ascii="Arial" w:cs="Arial" w:eastAsia="Arial" w:hAnsi="Arial"/>
          <w:b/>
          <w:bCs/>
          <w:color w:val="0C2438"/>
          <w:sz w:val="21"/>
          <w:szCs w:val="21"/>
        </w:rPr>
        <w:t xml:space="preserve">Residual governance</w:t>
      </w:r>
    </w:p>
    <w:p>
      <w:pPr>
        <w:pStyle w:val="ListParagraph"/>
        <w:numPr>
          <w:ilvl w:val="0"/>
          <w:numId w:val="2"/>
        </w:numPr>
        <w:spacing w:after="56" w:line="268"/>
      </w:pPr>
      <w:r>
        <w:rPr>
          <w:rFonts w:ascii="Arial" w:cs="Arial" w:eastAsia="Arial" w:hAnsi="Arial"/>
          <w:b/>
          <w:bCs/>
          <w:color w:val="0C2438"/>
          <w:sz w:val="21"/>
          <w:szCs w:val="21"/>
        </w:rPr>
        <w:t xml:space="preserve">Buyout programs and liquidity options</w:t>
      </w:r>
    </w:p>
    <w:p>
      <w:pPr>
        <w:pStyle w:val="ListParagraph"/>
        <w:numPr>
          <w:ilvl w:val="0"/>
          <w:numId w:val="2"/>
        </w:numPr>
        <w:spacing w:after="56" w:line="268"/>
      </w:pPr>
      <w:r>
        <w:rPr>
          <w:rFonts w:ascii="Arial" w:cs="Arial" w:eastAsia="Arial" w:hAnsi="Arial"/>
          <w:b/>
          <w:bCs/>
          <w:color w:val="0C2438"/>
          <w:sz w:val="21"/>
          <w:szCs w:val="21"/>
        </w:rPr>
        <w:t xml:space="preserve">Platform membership economics</w:t>
      </w:r>
    </w:p>
    <w:p>
      <w:pPr>
        <w:pStyle w:val="ListParagraph"/>
        <w:numPr>
          <w:ilvl w:val="0"/>
          <w:numId w:val="2"/>
        </w:numPr>
        <w:spacing w:after="56" w:line="268"/>
      </w:pPr>
      <w:r>
        <w:rPr>
          <w:rFonts w:ascii="Arial" w:cs="Arial" w:eastAsia="Arial" w:hAnsi="Arial"/>
          <w:b/>
          <w:bCs/>
          <w:color w:val="0C2438"/>
          <w:sz w:val="21"/>
          <w:szCs w:val="21"/>
        </w:rPr>
        <w:t xml:space="preserve">Internal member product strategy</w:t>
      </w:r>
    </w:p>
    <w:p>
      <w:pPr>
        <w:pStyle w:val="ListParagraph"/>
        <w:numPr>
          <w:ilvl w:val="0"/>
          <w:numId w:val="2"/>
        </w:numPr>
        <w:spacing w:after="56" w:line="268"/>
      </w:pPr>
      <w:r>
        <w:rPr>
          <w:rFonts w:ascii="Arial" w:cs="Arial" w:eastAsia="Arial" w:hAnsi="Arial"/>
          <w:b/>
          <w:bCs/>
          <w:color w:val="0C2438"/>
          <w:sz w:val="21"/>
          <w:szCs w:val="21"/>
        </w:rPr>
        <w:t xml:space="preserve">Producer economic models</w:t>
      </w:r>
    </w:p>
    <w:p>
      <w:pPr>
        <w:pStyle w:val="ListParagraph"/>
        <w:numPr>
          <w:ilvl w:val="0"/>
          <w:numId w:val="2"/>
        </w:numPr>
        <w:spacing w:after="140" w:line="268"/>
      </w:pPr>
      <w:r>
        <w:rPr>
          <w:rFonts w:ascii="Arial" w:cs="Arial" w:eastAsia="Arial" w:hAnsi="Arial"/>
          <w:b/>
          <w:bCs/>
          <w:color w:val="0C2438"/>
          <w:sz w:val="21"/>
          <w:szCs w:val="21"/>
        </w:rPr>
        <w:t xml:space="preserve">Contribution EBITDA protection and margin governance</w:t>
      </w:r>
    </w:p>
    <w:p>
      <w:pPr>
        <w:spacing w:after="140" w:before="0" w:line="276"/>
      </w:pPr>
      <w:r>
        <w:rPr>
          <w:rFonts w:ascii="Arial" w:cs="Arial" w:eastAsia="Arial" w:hAnsi="Arial"/>
          <w:color w:val="1E2733"/>
          <w:sz w:val="21"/>
          <w:szCs w:val="21"/>
        </w:rPr>
        <w:t xml:space="preserve">This manual is intended to ensure alignment between distributors, agency leaders, executive management, ownership, and strategic infrastructure partners while preserving the long-term economics and enterprise value of LeaderShield.</w:t>
      </w:r>
    </w:p>
    <w:p>
      <w:pPr>
        <w:spacing w:after="60"/>
      </w:pPr>
      <w:r>
        <w:rPr>
          <w:rFonts w:ascii="Arial" w:cs="Arial" w:eastAsia="Arial" w:hAnsi="Arial"/>
        </w:rPr>
        <w:t xml:space="preserve"/>
      </w:r>
    </w:p>
    <w:tbl>
      <w:tblPr>
        <w:tblW w:type="dxa" w:w="9360"/>
        <w:tblBorders>
          <w:top w:val="single" w:color="F7F0DC" w:sz="2"/>
          <w:left w:val="single" w:color="C9A23F" w:sz="30"/>
          <w:bottom w:val="single" w:color="F7F0DC" w:sz="2"/>
          <w:right w:val="single" w:color="F7F0DC" w:sz="2"/>
          <w:insideH w:val="single" w:color="auto" w:sz="4"/>
          <w:insideV w:val="single" w:color="auto" w:sz="4"/>
        </w:tblBorders>
      </w:tblPr>
      <w:tblGrid>
        <w:gridCol w:w="9360"/>
      </w:tblGrid>
      <w:tr>
        <w:tc>
          <w:tcPr>
            <w:tcW w:type="dxa" w:w="9360"/>
            <w:shd w:fill="F7F0DC" w:val="clear"/>
            <w:tcMar>
              <w:top w:type="dxa" w:w="150"/>
              <w:left w:type="dxa" w:w="240"/>
              <w:bottom w:type="dxa" w:w="150"/>
              <w:right w:type="dxa" w:w="220"/>
            </w:tcMar>
          </w:tcPr>
          <w:p>
            <w:pPr>
              <w:spacing w:after="60"/>
            </w:pPr>
            <w:r>
              <w:rPr>
                <w:rFonts w:ascii="Arial" w:cs="Arial" w:eastAsia="Arial" w:hAnsi="Arial"/>
                <w:b/>
                <w:bCs/>
                <w:color w:val="9A7A28"/>
                <w:spacing w:val="18"/>
                <w:sz w:val="17"/>
                <w:szCs w:val="17"/>
              </w:rPr>
              <w:t xml:space="preserve">DOCUMENT CONTROL</w:t>
            </w:r>
          </w:p>
          <w:p>
            <w:pPr>
              <w:spacing w:after="80" w:line="280"/>
            </w:pPr>
            <w:r>
              <w:rPr>
                <w:rFonts w:ascii="Arial" w:cs="Arial" w:eastAsia="Arial" w:hAnsi="Arial"/>
                <w:b/>
                <w:bCs/>
                <w:color w:val="0C2438"/>
                <w:sz w:val="21"/>
                <w:szCs w:val="21"/>
              </w:rPr>
              <w:t xml:space="preserve">Version 1.1  •  Revised Edition  •  LeaderShield 2026</w:t>
            </w:r>
          </w:p>
          <w:p>
            <w:pPr>
              <w:spacing w:after="0" w:line="280"/>
            </w:pPr>
            <w:r>
              <w:rPr>
                <w:rFonts w:ascii="Arial" w:cs="Arial" w:eastAsia="Arial" w:hAnsi="Arial"/>
                <w:color w:val="0C2438"/>
                <w:sz w:val="20"/>
                <w:szCs w:val="20"/>
              </w:rPr>
              <w:t xml:space="preserve">This revision updates product retail pricing and the subscription commission architecture. All figures herein supersede prior drafts.</w:t>
            </w:r>
          </w:p>
        </w:tc>
      </w:tr>
    </w:tbl>
    <w:p>
      <w:r>
        <w:br w:type="page"/>
      </w:r>
    </w:p>
    <w:p>
      <w:pPr>
        <w:keepNext/>
        <w:spacing w:after="40" w:before="160"/>
      </w:pPr>
      <w:r>
        <w:rPr>
          <w:rFonts w:ascii="Arial" w:cs="Arial" w:eastAsia="Arial" w:hAnsi="Arial"/>
          <w:b/>
          <w:bCs/>
          <w:color w:val="9A7A28"/>
          <w:spacing w:val="26"/>
          <w:sz w:val="17"/>
          <w:szCs w:val="17"/>
        </w:rPr>
        <w:t xml:space="preserve">NAVIGATION</w:t>
      </w:r>
    </w:p>
    <w:p>
      <w:pPr>
        <w:pBdr>
          <w:bottom w:val="single" w:color="C9A23F" w:sz="14" w:space="6"/>
        </w:pBdr>
        <w:spacing w:after="220"/>
      </w:pPr>
      <w:r>
        <w:rPr>
          <w:rFonts w:ascii="Georgia" w:cs="Georgia" w:eastAsia="Georgia" w:hAnsi="Georgia"/>
          <w:b/>
          <w:bCs/>
          <w:color w:val="0C2438"/>
          <w:sz w:val="38"/>
          <w:szCs w:val="38"/>
        </w:rPr>
        <w:t xml:space="preserve">Table of Contents</w:t>
      </w:r>
    </w:p>
    <w:tbl>
      <w:tblPr>
        <w:tblW w:type="dxa" w:w="9360"/>
        <w:tblBorders>
          <w:top w:val="none"/>
          <w:left w:val="none"/>
          <w:bottom w:val="single" w:color="E7ECF2" w:sz="2"/>
          <w:right w:val="none"/>
          <w:insideH w:val="none"/>
          <w:insideV w:val="none"/>
        </w:tblBorders>
      </w:tblPr>
      <w:tblGrid>
        <w:gridCol w:w="900"/>
        <w:gridCol w:w="8460"/>
      </w:tblGrid>
      <w:tr>
        <w:tc>
          <w:tcPr>
            <w:tcW w:type="dxa" w:w="900"/>
            <w:tcBorders>
              <w:top w:val="none"/>
              <w:left w:val="none"/>
              <w:bottom w:val="none"/>
              <w:right w:val="none"/>
            </w:tcBorders>
            <w:tcMar>
              <w:top w:type="dxa" w:w="80"/>
              <w:left w:type="dxa" w:w="20"/>
              <w:bottom w:type="dxa" w:w="80"/>
              <w:right w:type="dxa" w:w="60"/>
            </w:tcMar>
            <w:vAlign w:val="center"/>
          </w:tcPr>
          <w:p>
            <w:r>
              <w:rPr>
                <w:rFonts w:ascii="Georgia" w:cs="Georgia" w:eastAsia="Georgia" w:hAnsi="Georgia"/>
                <w:b/>
                <w:bCs/>
                <w:color w:val="C9A23F"/>
                <w:sz w:val="34"/>
                <w:szCs w:val="34"/>
              </w:rPr>
              <w:t xml:space="preserve">01</w:t>
            </w:r>
          </w:p>
        </w:tc>
        <w:tc>
          <w:tcPr>
            <w:tcW w:type="dxa" w:w="8460"/>
            <w:tcBorders>
              <w:top w:val="none"/>
              <w:left w:val="none"/>
              <w:bottom w:val="none"/>
              <w:right w:val="none"/>
            </w:tcBorders>
            <w:tcMar>
              <w:top w:type="dxa" w:w="80"/>
              <w:left w:type="dxa" w:w="40"/>
              <w:bottom w:type="dxa" w:w="80"/>
              <w:right w:type="dxa" w:w="20"/>
            </w:tcMar>
            <w:vAlign w:val="center"/>
          </w:tcPr>
          <w:p>
            <w:pPr>
              <w:spacing w:after="20"/>
            </w:pPr>
            <w:r>
              <w:rPr>
                <w:rFonts w:ascii="Arial" w:cs="Arial" w:eastAsia="Arial" w:hAnsi="Arial"/>
                <w:b/>
                <w:bCs/>
                <w:color w:val="0C2438"/>
                <w:sz w:val="23"/>
                <w:szCs w:val="23"/>
              </w:rPr>
              <w:t xml:space="preserve">Introduction &amp; Guiding Principles</w:t>
            </w:r>
          </w:p>
          <w:p>
            <w:r>
              <w:rPr>
                <w:rFonts w:ascii="Arial" w:cs="Arial" w:eastAsia="Arial" w:hAnsi="Arial"/>
                <w:color w:val="5C6675"/>
                <w:sz w:val="18"/>
                <w:szCs w:val="18"/>
              </w:rPr>
              <w:t xml:space="preserve">Why the architecture exists, design objectives, and the alignment philosophy</w:t>
            </w:r>
          </w:p>
        </w:tc>
      </w:tr>
    </w:tbl>
    <w:tbl>
      <w:tblPr>
        <w:tblW w:type="dxa" w:w="9360"/>
        <w:tblBorders>
          <w:top w:val="none"/>
          <w:left w:val="none"/>
          <w:bottom w:val="single" w:color="E7ECF2" w:sz="2"/>
          <w:right w:val="none"/>
          <w:insideH w:val="none"/>
          <w:insideV w:val="none"/>
        </w:tblBorders>
      </w:tblPr>
      <w:tblGrid>
        <w:gridCol w:w="900"/>
        <w:gridCol w:w="8460"/>
      </w:tblGrid>
      <w:tr>
        <w:tc>
          <w:tcPr>
            <w:tcW w:type="dxa" w:w="900"/>
            <w:tcBorders>
              <w:top w:val="none"/>
              <w:left w:val="none"/>
              <w:bottom w:val="none"/>
              <w:right w:val="none"/>
            </w:tcBorders>
            <w:tcMar>
              <w:top w:type="dxa" w:w="80"/>
              <w:left w:type="dxa" w:w="20"/>
              <w:bottom w:type="dxa" w:w="80"/>
              <w:right w:type="dxa" w:w="60"/>
            </w:tcMar>
            <w:vAlign w:val="center"/>
          </w:tcPr>
          <w:p>
            <w:r>
              <w:rPr>
                <w:rFonts w:ascii="Georgia" w:cs="Georgia" w:eastAsia="Georgia" w:hAnsi="Georgia"/>
                <w:b/>
                <w:bCs/>
                <w:color w:val="C9A23F"/>
                <w:sz w:val="34"/>
                <w:szCs w:val="34"/>
              </w:rPr>
              <w:t xml:space="preserve">02</w:t>
            </w:r>
          </w:p>
        </w:tc>
        <w:tc>
          <w:tcPr>
            <w:tcW w:type="dxa" w:w="8460"/>
            <w:tcBorders>
              <w:top w:val="none"/>
              <w:left w:val="none"/>
              <w:bottom w:val="none"/>
              <w:right w:val="none"/>
            </w:tcBorders>
            <w:tcMar>
              <w:top w:type="dxa" w:w="80"/>
              <w:left w:type="dxa" w:w="40"/>
              <w:bottom w:type="dxa" w:w="80"/>
              <w:right w:type="dxa" w:w="20"/>
            </w:tcMar>
            <w:vAlign w:val="center"/>
          </w:tcPr>
          <w:p>
            <w:pPr>
              <w:spacing w:after="20"/>
            </w:pPr>
            <w:r>
              <w:rPr>
                <w:rFonts w:ascii="Arial" w:cs="Arial" w:eastAsia="Arial" w:hAnsi="Arial"/>
                <w:b/>
                <w:bCs/>
                <w:color w:val="0C2438"/>
                <w:sz w:val="23"/>
                <w:szCs w:val="23"/>
              </w:rPr>
              <w:t xml:space="preserve">Compensation Design Principles</w:t>
            </w:r>
          </w:p>
          <w:p>
            <w:r>
              <w:rPr>
                <w:rFonts w:ascii="Arial" w:cs="Arial" w:eastAsia="Arial" w:hAnsi="Arial"/>
                <w:color w:val="5C6675"/>
                <w:sz w:val="18"/>
                <w:szCs w:val="18"/>
              </w:rPr>
              <w:t xml:space="preserve">Multiple economic engines, residual income, and contribution EBITDA protection</w:t>
            </w:r>
          </w:p>
        </w:tc>
      </w:tr>
    </w:tbl>
    <w:tbl>
      <w:tblPr>
        <w:tblW w:type="dxa" w:w="9360"/>
        <w:tblBorders>
          <w:top w:val="none"/>
          <w:left w:val="none"/>
          <w:bottom w:val="single" w:color="E7ECF2" w:sz="2"/>
          <w:right w:val="none"/>
          <w:insideH w:val="none"/>
          <w:insideV w:val="none"/>
        </w:tblBorders>
      </w:tblPr>
      <w:tblGrid>
        <w:gridCol w:w="900"/>
        <w:gridCol w:w="8460"/>
      </w:tblGrid>
      <w:tr>
        <w:tc>
          <w:tcPr>
            <w:tcW w:type="dxa" w:w="900"/>
            <w:tcBorders>
              <w:top w:val="none"/>
              <w:left w:val="none"/>
              <w:bottom w:val="none"/>
              <w:right w:val="none"/>
            </w:tcBorders>
            <w:tcMar>
              <w:top w:type="dxa" w:w="80"/>
              <w:left w:type="dxa" w:w="20"/>
              <w:bottom w:type="dxa" w:w="80"/>
              <w:right w:type="dxa" w:w="60"/>
            </w:tcMar>
            <w:vAlign w:val="center"/>
          </w:tcPr>
          <w:p>
            <w:r>
              <w:rPr>
                <w:rFonts w:ascii="Georgia" w:cs="Georgia" w:eastAsia="Georgia" w:hAnsi="Georgia"/>
                <w:b/>
                <w:bCs/>
                <w:color w:val="C9A23F"/>
                <w:sz w:val="34"/>
                <w:szCs w:val="34"/>
              </w:rPr>
              <w:t xml:space="preserve">03</w:t>
            </w:r>
          </w:p>
        </w:tc>
        <w:tc>
          <w:tcPr>
            <w:tcW w:type="dxa" w:w="8460"/>
            <w:tcBorders>
              <w:top w:val="none"/>
              <w:left w:val="none"/>
              <w:bottom w:val="none"/>
              <w:right w:val="none"/>
            </w:tcBorders>
            <w:tcMar>
              <w:top w:type="dxa" w:w="80"/>
              <w:left w:type="dxa" w:w="40"/>
              <w:bottom w:type="dxa" w:w="80"/>
              <w:right w:type="dxa" w:w="20"/>
            </w:tcMar>
            <w:vAlign w:val="center"/>
          </w:tcPr>
          <w:p>
            <w:pPr>
              <w:spacing w:after="20"/>
            </w:pPr>
            <w:r>
              <w:rPr>
                <w:rFonts w:ascii="Arial" w:cs="Arial" w:eastAsia="Arial" w:hAnsi="Arial"/>
                <w:b/>
                <w:bCs/>
                <w:color w:val="0C2438"/>
                <w:sz w:val="23"/>
                <w:szCs w:val="23"/>
              </w:rPr>
              <w:t xml:space="preserve">Revenue Streams</w:t>
            </w:r>
          </w:p>
          <w:p>
            <w:r>
              <w:rPr>
                <w:rFonts w:ascii="Arial" w:cs="Arial" w:eastAsia="Arial" w:hAnsi="Arial"/>
                <w:color w:val="5C6675"/>
                <w:sz w:val="18"/>
                <w:szCs w:val="18"/>
              </w:rPr>
              <w:t xml:space="preserve">Capital Engine, Merchant Growth Platform, distribution, and platform revenue</w:t>
            </w:r>
          </w:p>
        </w:tc>
      </w:tr>
    </w:tbl>
    <w:tbl>
      <w:tblPr>
        <w:tblW w:type="dxa" w:w="9360"/>
        <w:tblBorders>
          <w:top w:val="none"/>
          <w:left w:val="none"/>
          <w:bottom w:val="single" w:color="E7ECF2" w:sz="2"/>
          <w:right w:val="none"/>
          <w:insideH w:val="none"/>
          <w:insideV w:val="none"/>
        </w:tblBorders>
      </w:tblPr>
      <w:tblGrid>
        <w:gridCol w:w="900"/>
        <w:gridCol w:w="8460"/>
      </w:tblGrid>
      <w:tr>
        <w:tc>
          <w:tcPr>
            <w:tcW w:type="dxa" w:w="900"/>
            <w:tcBorders>
              <w:top w:val="none"/>
              <w:left w:val="none"/>
              <w:bottom w:val="none"/>
              <w:right w:val="none"/>
            </w:tcBorders>
            <w:tcMar>
              <w:top w:type="dxa" w:w="80"/>
              <w:left w:type="dxa" w:w="20"/>
              <w:bottom w:type="dxa" w:w="80"/>
              <w:right w:type="dxa" w:w="60"/>
            </w:tcMar>
            <w:vAlign w:val="center"/>
          </w:tcPr>
          <w:p>
            <w:r>
              <w:rPr>
                <w:rFonts w:ascii="Georgia" w:cs="Georgia" w:eastAsia="Georgia" w:hAnsi="Georgia"/>
                <w:b/>
                <w:bCs/>
                <w:color w:val="C9A23F"/>
                <w:sz w:val="34"/>
                <w:szCs w:val="34"/>
              </w:rPr>
              <w:t xml:space="preserve">04</w:t>
            </w:r>
          </w:p>
        </w:tc>
        <w:tc>
          <w:tcPr>
            <w:tcW w:type="dxa" w:w="8460"/>
            <w:tcBorders>
              <w:top w:val="none"/>
              <w:left w:val="none"/>
              <w:bottom w:val="none"/>
              <w:right w:val="none"/>
            </w:tcBorders>
            <w:tcMar>
              <w:top w:type="dxa" w:w="80"/>
              <w:left w:type="dxa" w:w="40"/>
              <w:bottom w:type="dxa" w:w="80"/>
              <w:right w:type="dxa" w:w="20"/>
            </w:tcMar>
            <w:vAlign w:val="center"/>
          </w:tcPr>
          <w:p>
            <w:pPr>
              <w:spacing w:after="20"/>
            </w:pPr>
            <w:r>
              <w:rPr>
                <w:rFonts w:ascii="Arial" w:cs="Arial" w:eastAsia="Arial" w:hAnsi="Arial"/>
                <w:b/>
                <w:bCs/>
                <w:color w:val="0C2438"/>
                <w:sz w:val="23"/>
                <w:szCs w:val="23"/>
              </w:rPr>
              <w:t xml:space="preserve">Merchant Growth Platform Products</w:t>
            </w:r>
          </w:p>
          <w:p>
            <w:r>
              <w:rPr>
                <w:rFonts w:ascii="Arial" w:cs="Arial" w:eastAsia="Arial" w:hAnsi="Arial"/>
                <w:color w:val="5C6675"/>
                <w:sz w:val="18"/>
                <w:szCs w:val="18"/>
              </w:rPr>
              <w:t xml:space="preserve">Starter, Growth Foundation, Revenue Growth System, and Revenue Scale AI</w:t>
            </w:r>
          </w:p>
        </w:tc>
      </w:tr>
    </w:tbl>
    <w:tbl>
      <w:tblPr>
        <w:tblW w:type="dxa" w:w="9360"/>
        <w:tblBorders>
          <w:top w:val="none"/>
          <w:left w:val="none"/>
          <w:bottom w:val="single" w:color="E7ECF2" w:sz="2"/>
          <w:right w:val="none"/>
          <w:insideH w:val="none"/>
          <w:insideV w:val="none"/>
        </w:tblBorders>
      </w:tblPr>
      <w:tblGrid>
        <w:gridCol w:w="900"/>
        <w:gridCol w:w="8460"/>
      </w:tblGrid>
      <w:tr>
        <w:tc>
          <w:tcPr>
            <w:tcW w:type="dxa" w:w="900"/>
            <w:tcBorders>
              <w:top w:val="none"/>
              <w:left w:val="none"/>
              <w:bottom w:val="none"/>
              <w:right w:val="none"/>
            </w:tcBorders>
            <w:tcMar>
              <w:top w:type="dxa" w:w="80"/>
              <w:left w:type="dxa" w:w="20"/>
              <w:bottom w:type="dxa" w:w="80"/>
              <w:right w:type="dxa" w:w="60"/>
            </w:tcMar>
            <w:vAlign w:val="center"/>
          </w:tcPr>
          <w:p>
            <w:r>
              <w:rPr>
                <w:rFonts w:ascii="Georgia" w:cs="Georgia" w:eastAsia="Georgia" w:hAnsi="Georgia"/>
                <w:b/>
                <w:bCs/>
                <w:color w:val="C9A23F"/>
                <w:sz w:val="34"/>
                <w:szCs w:val="34"/>
              </w:rPr>
              <w:t xml:space="preserve">05</w:t>
            </w:r>
          </w:p>
        </w:tc>
        <w:tc>
          <w:tcPr>
            <w:tcW w:type="dxa" w:w="8460"/>
            <w:tcBorders>
              <w:top w:val="none"/>
              <w:left w:val="none"/>
              <w:bottom w:val="none"/>
              <w:right w:val="none"/>
            </w:tcBorders>
            <w:tcMar>
              <w:top w:type="dxa" w:w="80"/>
              <w:left w:type="dxa" w:w="40"/>
              <w:bottom w:type="dxa" w:w="80"/>
              <w:right w:type="dxa" w:w="20"/>
            </w:tcMar>
            <w:vAlign w:val="center"/>
          </w:tcPr>
          <w:p>
            <w:pPr>
              <w:spacing w:after="20"/>
            </w:pPr>
            <w:r>
              <w:rPr>
                <w:rFonts w:ascii="Arial" w:cs="Arial" w:eastAsia="Arial" w:hAnsi="Arial"/>
                <w:b/>
                <w:bCs/>
                <w:color w:val="0C2438"/>
                <w:sz w:val="23"/>
                <w:szCs w:val="23"/>
              </w:rPr>
              <w:t xml:space="preserve">Subscription Compensation Architecture</w:t>
            </w:r>
          </w:p>
          <w:p>
            <w:r>
              <w:rPr>
                <w:rFonts w:ascii="Arial" w:cs="Arial" w:eastAsia="Arial" w:hAnsi="Arial"/>
                <w:color w:val="5C6675"/>
                <w:sz w:val="18"/>
                <w:szCs w:val="18"/>
              </w:rPr>
              <w:t xml:space="preserve">Commissionable pools, decay schedules, residual rights, and buyouts</w:t>
            </w:r>
          </w:p>
        </w:tc>
      </w:tr>
    </w:tbl>
    <w:tbl>
      <w:tblPr>
        <w:tblW w:type="dxa" w:w="9360"/>
        <w:tblBorders>
          <w:top w:val="none"/>
          <w:left w:val="none"/>
          <w:bottom w:val="single" w:color="E7ECF2" w:sz="2"/>
          <w:right w:val="none"/>
          <w:insideH w:val="none"/>
          <w:insideV w:val="none"/>
        </w:tblBorders>
      </w:tblPr>
      <w:tblGrid>
        <w:gridCol w:w="900"/>
        <w:gridCol w:w="8460"/>
      </w:tblGrid>
      <w:tr>
        <w:tc>
          <w:tcPr>
            <w:tcW w:type="dxa" w:w="900"/>
            <w:tcBorders>
              <w:top w:val="none"/>
              <w:left w:val="none"/>
              <w:bottom w:val="none"/>
              <w:right w:val="none"/>
            </w:tcBorders>
            <w:tcMar>
              <w:top w:type="dxa" w:w="80"/>
              <w:left w:type="dxa" w:w="20"/>
              <w:bottom w:type="dxa" w:w="80"/>
              <w:right w:type="dxa" w:w="60"/>
            </w:tcMar>
            <w:vAlign w:val="center"/>
          </w:tcPr>
          <w:p>
            <w:r>
              <w:rPr>
                <w:rFonts w:ascii="Georgia" w:cs="Georgia" w:eastAsia="Georgia" w:hAnsi="Georgia"/>
                <w:b/>
                <w:bCs/>
                <w:color w:val="C9A23F"/>
                <w:sz w:val="34"/>
                <w:szCs w:val="34"/>
              </w:rPr>
              <w:t xml:space="preserve">06</w:t>
            </w:r>
          </w:p>
        </w:tc>
        <w:tc>
          <w:tcPr>
            <w:tcW w:type="dxa" w:w="8460"/>
            <w:tcBorders>
              <w:top w:val="none"/>
              <w:left w:val="none"/>
              <w:bottom w:val="none"/>
              <w:right w:val="none"/>
            </w:tcBorders>
            <w:tcMar>
              <w:top w:type="dxa" w:w="80"/>
              <w:left w:type="dxa" w:w="40"/>
              <w:bottom w:type="dxa" w:w="80"/>
              <w:right w:type="dxa" w:w="20"/>
            </w:tcMar>
            <w:vAlign w:val="center"/>
          </w:tcPr>
          <w:p>
            <w:pPr>
              <w:spacing w:after="20"/>
            </w:pPr>
            <w:r>
              <w:rPr>
                <w:rFonts w:ascii="Arial" w:cs="Arial" w:eastAsia="Arial" w:hAnsi="Arial"/>
                <w:b/>
                <w:bCs/>
                <w:color w:val="0C2438"/>
                <w:sz w:val="23"/>
                <w:szCs w:val="23"/>
              </w:rPr>
              <w:t xml:space="preserve">Qualification Tiers &amp; Accelerators</w:t>
            </w:r>
          </w:p>
          <w:p>
            <w:r>
              <w:rPr>
                <w:rFonts w:ascii="Arial" w:cs="Arial" w:eastAsia="Arial" w:hAnsi="Arial"/>
                <w:color w:val="5C6675"/>
                <w:sz w:val="18"/>
                <w:szCs w:val="18"/>
              </w:rPr>
              <w:t xml:space="preserve">Standard, Enhanced, and Elite tiers plus the performance accelerator program</w:t>
            </w:r>
          </w:p>
        </w:tc>
      </w:tr>
    </w:tbl>
    <w:tbl>
      <w:tblPr>
        <w:tblW w:type="dxa" w:w="9360"/>
        <w:tblBorders>
          <w:top w:val="none"/>
          <w:left w:val="none"/>
          <w:bottom w:val="single" w:color="E7ECF2" w:sz="2"/>
          <w:right w:val="none"/>
          <w:insideH w:val="none"/>
          <w:insideV w:val="none"/>
        </w:tblBorders>
      </w:tblPr>
      <w:tblGrid>
        <w:gridCol w:w="900"/>
        <w:gridCol w:w="8460"/>
      </w:tblGrid>
      <w:tr>
        <w:tc>
          <w:tcPr>
            <w:tcW w:type="dxa" w:w="900"/>
            <w:tcBorders>
              <w:top w:val="none"/>
              <w:left w:val="none"/>
              <w:bottom w:val="none"/>
              <w:right w:val="none"/>
            </w:tcBorders>
            <w:tcMar>
              <w:top w:type="dxa" w:w="80"/>
              <w:left w:type="dxa" w:w="20"/>
              <w:bottom w:type="dxa" w:w="80"/>
              <w:right w:type="dxa" w:w="60"/>
            </w:tcMar>
            <w:vAlign w:val="center"/>
          </w:tcPr>
          <w:p>
            <w:r>
              <w:rPr>
                <w:rFonts w:ascii="Georgia" w:cs="Georgia" w:eastAsia="Georgia" w:hAnsi="Georgia"/>
                <w:b/>
                <w:bCs/>
                <w:color w:val="C9A23F"/>
                <w:sz w:val="34"/>
                <w:szCs w:val="34"/>
              </w:rPr>
              <w:t xml:space="preserve">07</w:t>
            </w:r>
          </w:p>
        </w:tc>
        <w:tc>
          <w:tcPr>
            <w:tcW w:type="dxa" w:w="8460"/>
            <w:tcBorders>
              <w:top w:val="none"/>
              <w:left w:val="none"/>
              <w:bottom w:val="none"/>
              <w:right w:val="none"/>
            </w:tcBorders>
            <w:tcMar>
              <w:top w:type="dxa" w:w="80"/>
              <w:left w:type="dxa" w:w="40"/>
              <w:bottom w:type="dxa" w:w="80"/>
              <w:right w:type="dxa" w:w="20"/>
            </w:tcMar>
            <w:vAlign w:val="center"/>
          </w:tcPr>
          <w:p>
            <w:pPr>
              <w:spacing w:after="20"/>
            </w:pPr>
            <w:r>
              <w:rPr>
                <w:rFonts w:ascii="Arial" w:cs="Arial" w:eastAsia="Arial" w:hAnsi="Arial"/>
                <w:b/>
                <w:bCs/>
                <w:color w:val="0C2438"/>
                <w:sz w:val="23"/>
                <w:szCs w:val="23"/>
              </w:rPr>
              <w:t xml:space="preserve">MCA Compensation Architecture</w:t>
            </w:r>
          </w:p>
          <w:p>
            <w:r>
              <w:rPr>
                <w:rFonts w:ascii="Arial" w:cs="Arial" w:eastAsia="Arial" w:hAnsi="Arial"/>
                <w:color w:val="5C6675"/>
                <w:sz w:val="18"/>
                <w:szCs w:val="18"/>
              </w:rPr>
              <w:t xml:space="preserve">Gross commission allocation, opening pool, and illustrative waterfalls</w:t>
            </w:r>
          </w:p>
        </w:tc>
      </w:tr>
    </w:tbl>
    <w:tbl>
      <w:tblPr>
        <w:tblW w:type="dxa" w:w="9360"/>
        <w:tblBorders>
          <w:top w:val="none"/>
          <w:left w:val="none"/>
          <w:bottom w:val="single" w:color="E7ECF2" w:sz="2"/>
          <w:right w:val="none"/>
          <w:insideH w:val="none"/>
          <w:insideV w:val="none"/>
        </w:tblBorders>
      </w:tblPr>
      <w:tblGrid>
        <w:gridCol w:w="900"/>
        <w:gridCol w:w="8460"/>
      </w:tblGrid>
      <w:tr>
        <w:tc>
          <w:tcPr>
            <w:tcW w:type="dxa" w:w="900"/>
            <w:tcBorders>
              <w:top w:val="none"/>
              <w:left w:val="none"/>
              <w:bottom w:val="none"/>
              <w:right w:val="none"/>
            </w:tcBorders>
            <w:tcMar>
              <w:top w:type="dxa" w:w="80"/>
              <w:left w:type="dxa" w:w="20"/>
              <w:bottom w:type="dxa" w:w="80"/>
              <w:right w:type="dxa" w:w="60"/>
            </w:tcMar>
            <w:vAlign w:val="center"/>
          </w:tcPr>
          <w:p>
            <w:r>
              <w:rPr>
                <w:rFonts w:ascii="Georgia" w:cs="Georgia" w:eastAsia="Georgia" w:hAnsi="Georgia"/>
                <w:b/>
                <w:bCs/>
                <w:color w:val="C9A23F"/>
                <w:sz w:val="34"/>
                <w:szCs w:val="34"/>
              </w:rPr>
              <w:t xml:space="preserve">08</w:t>
            </w:r>
          </w:p>
        </w:tc>
        <w:tc>
          <w:tcPr>
            <w:tcW w:type="dxa" w:w="8460"/>
            <w:tcBorders>
              <w:top w:val="none"/>
              <w:left w:val="none"/>
              <w:bottom w:val="none"/>
              <w:right w:val="none"/>
            </w:tcBorders>
            <w:tcMar>
              <w:top w:type="dxa" w:w="80"/>
              <w:left w:type="dxa" w:w="40"/>
              <w:bottom w:type="dxa" w:w="80"/>
              <w:right w:type="dxa" w:w="20"/>
            </w:tcMar>
            <w:vAlign w:val="center"/>
          </w:tcPr>
          <w:p>
            <w:pPr>
              <w:spacing w:after="20"/>
            </w:pPr>
            <w:r>
              <w:rPr>
                <w:rFonts w:ascii="Arial" w:cs="Arial" w:eastAsia="Arial" w:hAnsi="Arial"/>
                <w:b/>
                <w:bCs/>
                <w:color w:val="0C2438"/>
                <w:sz w:val="23"/>
                <w:szCs w:val="23"/>
              </w:rPr>
              <w:t xml:space="preserve">Agency Override Architecture</w:t>
            </w:r>
          </w:p>
          <w:p>
            <w:r>
              <w:rPr>
                <w:rFonts w:ascii="Arial" w:cs="Arial" w:eastAsia="Arial" w:hAnsi="Arial"/>
                <w:color w:val="5C6675"/>
                <w:sz w:val="18"/>
                <w:szCs w:val="18"/>
              </w:rPr>
              <w:t xml:space="preserve">Organizational ownership, override flexibility, and depth limitations</w:t>
            </w:r>
          </w:p>
        </w:tc>
      </w:tr>
    </w:tbl>
    <w:tbl>
      <w:tblPr>
        <w:tblW w:type="dxa" w:w="9360"/>
        <w:tblBorders>
          <w:top w:val="none"/>
          <w:left w:val="none"/>
          <w:bottom w:val="single" w:color="E7ECF2" w:sz="2"/>
          <w:right w:val="none"/>
          <w:insideH w:val="none"/>
          <w:insideV w:val="none"/>
        </w:tblBorders>
      </w:tblPr>
      <w:tblGrid>
        <w:gridCol w:w="900"/>
        <w:gridCol w:w="8460"/>
      </w:tblGrid>
      <w:tr>
        <w:tc>
          <w:tcPr>
            <w:tcW w:type="dxa" w:w="900"/>
            <w:tcBorders>
              <w:top w:val="none"/>
              <w:left w:val="none"/>
              <w:bottom w:val="none"/>
              <w:right w:val="none"/>
            </w:tcBorders>
            <w:tcMar>
              <w:top w:type="dxa" w:w="80"/>
              <w:left w:type="dxa" w:w="20"/>
              <w:bottom w:type="dxa" w:w="80"/>
              <w:right w:type="dxa" w:w="60"/>
            </w:tcMar>
            <w:vAlign w:val="center"/>
          </w:tcPr>
          <w:p>
            <w:r>
              <w:rPr>
                <w:rFonts w:ascii="Georgia" w:cs="Georgia" w:eastAsia="Georgia" w:hAnsi="Georgia"/>
                <w:b/>
                <w:bCs/>
                <w:color w:val="C9A23F"/>
                <w:sz w:val="34"/>
                <w:szCs w:val="34"/>
              </w:rPr>
              <w:t xml:space="preserve">09</w:t>
            </w:r>
          </w:p>
        </w:tc>
        <w:tc>
          <w:tcPr>
            <w:tcW w:type="dxa" w:w="8460"/>
            <w:tcBorders>
              <w:top w:val="none"/>
              <w:left w:val="none"/>
              <w:bottom w:val="none"/>
              <w:right w:val="none"/>
            </w:tcBorders>
            <w:tcMar>
              <w:top w:type="dxa" w:w="80"/>
              <w:left w:type="dxa" w:w="40"/>
              <w:bottom w:type="dxa" w:w="80"/>
              <w:right w:type="dxa" w:w="20"/>
            </w:tcMar>
            <w:vAlign w:val="center"/>
          </w:tcPr>
          <w:p>
            <w:pPr>
              <w:spacing w:after="20"/>
            </w:pPr>
            <w:r>
              <w:rPr>
                <w:rFonts w:ascii="Arial" w:cs="Arial" w:eastAsia="Arial" w:hAnsi="Arial"/>
                <w:b/>
                <w:bCs/>
                <w:color w:val="0C2438"/>
                <w:sz w:val="23"/>
                <w:szCs w:val="23"/>
              </w:rPr>
              <w:t xml:space="preserve">Residual Governance &amp; Income Protection</w:t>
            </w:r>
          </w:p>
          <w:p>
            <w:r>
              <w:rPr>
                <w:rFonts w:ascii="Arial" w:cs="Arial" w:eastAsia="Arial" w:hAnsi="Arial"/>
                <w:color w:val="5C6675"/>
                <w:sz w:val="18"/>
                <w:szCs w:val="18"/>
              </w:rPr>
              <w:t xml:space="preserve">Eligibility, mature residual economics, and good-standing requirements</w:t>
            </w:r>
          </w:p>
        </w:tc>
      </w:tr>
    </w:tbl>
    <w:tbl>
      <w:tblPr>
        <w:tblW w:type="dxa" w:w="9360"/>
        <w:tblBorders>
          <w:top w:val="none"/>
          <w:left w:val="none"/>
          <w:bottom w:val="single" w:color="E7ECF2" w:sz="2"/>
          <w:right w:val="none"/>
          <w:insideH w:val="none"/>
          <w:insideV w:val="none"/>
        </w:tblBorders>
      </w:tblPr>
      <w:tblGrid>
        <w:gridCol w:w="900"/>
        <w:gridCol w:w="8460"/>
      </w:tblGrid>
      <w:tr>
        <w:tc>
          <w:tcPr>
            <w:tcW w:type="dxa" w:w="900"/>
            <w:tcBorders>
              <w:top w:val="none"/>
              <w:left w:val="none"/>
              <w:bottom w:val="none"/>
              <w:right w:val="none"/>
            </w:tcBorders>
            <w:tcMar>
              <w:top w:type="dxa" w:w="80"/>
              <w:left w:type="dxa" w:w="20"/>
              <w:bottom w:type="dxa" w:w="80"/>
              <w:right w:type="dxa" w:w="60"/>
            </w:tcMar>
            <w:vAlign w:val="center"/>
          </w:tcPr>
          <w:p>
            <w:r>
              <w:rPr>
                <w:rFonts w:ascii="Georgia" w:cs="Georgia" w:eastAsia="Georgia" w:hAnsi="Georgia"/>
                <w:b/>
                <w:bCs/>
                <w:color w:val="C9A23F"/>
                <w:sz w:val="34"/>
                <w:szCs w:val="34"/>
              </w:rPr>
              <w:t xml:space="preserve">10</w:t>
            </w:r>
          </w:p>
        </w:tc>
        <w:tc>
          <w:tcPr>
            <w:tcW w:type="dxa" w:w="8460"/>
            <w:tcBorders>
              <w:top w:val="none"/>
              <w:left w:val="none"/>
              <w:bottom w:val="none"/>
              <w:right w:val="none"/>
            </w:tcBorders>
            <w:tcMar>
              <w:top w:type="dxa" w:w="80"/>
              <w:left w:type="dxa" w:w="40"/>
              <w:bottom w:type="dxa" w:w="80"/>
              <w:right w:type="dxa" w:w="20"/>
            </w:tcMar>
            <w:vAlign w:val="center"/>
          </w:tcPr>
          <w:p>
            <w:pPr>
              <w:spacing w:after="20"/>
            </w:pPr>
            <w:r>
              <w:rPr>
                <w:rFonts w:ascii="Arial" w:cs="Arial" w:eastAsia="Arial" w:hAnsi="Arial"/>
                <w:b/>
                <w:bCs/>
                <w:color w:val="0C2438"/>
                <w:sz w:val="23"/>
                <w:szCs w:val="23"/>
              </w:rPr>
              <w:t xml:space="preserve">Platform Membership &amp; Waivers</w:t>
            </w:r>
          </w:p>
          <w:p>
            <w:r>
              <w:rPr>
                <w:rFonts w:ascii="Arial" w:cs="Arial" w:eastAsia="Arial" w:hAnsi="Arial"/>
                <w:color w:val="5C6675"/>
                <w:sz w:val="18"/>
                <w:szCs w:val="18"/>
              </w:rPr>
              <w:t xml:space="preserve">Individual and agency membership with production-based fee waivers</w:t>
            </w:r>
          </w:p>
        </w:tc>
      </w:tr>
    </w:tbl>
    <w:tbl>
      <w:tblPr>
        <w:tblW w:type="dxa" w:w="9360"/>
        <w:tblBorders>
          <w:top w:val="none"/>
          <w:left w:val="none"/>
          <w:bottom w:val="single" w:color="E7ECF2" w:sz="2"/>
          <w:right w:val="none"/>
          <w:insideH w:val="none"/>
          <w:insideV w:val="none"/>
        </w:tblBorders>
      </w:tblPr>
      <w:tblGrid>
        <w:gridCol w:w="900"/>
        <w:gridCol w:w="8460"/>
      </w:tblGrid>
      <w:tr>
        <w:tc>
          <w:tcPr>
            <w:tcW w:type="dxa" w:w="900"/>
            <w:tcBorders>
              <w:top w:val="none"/>
              <w:left w:val="none"/>
              <w:bottom w:val="none"/>
              <w:right w:val="none"/>
            </w:tcBorders>
            <w:tcMar>
              <w:top w:type="dxa" w:w="80"/>
              <w:left w:type="dxa" w:w="20"/>
              <w:bottom w:type="dxa" w:w="80"/>
              <w:right w:type="dxa" w:w="60"/>
            </w:tcMar>
            <w:vAlign w:val="center"/>
          </w:tcPr>
          <w:p>
            <w:r>
              <w:rPr>
                <w:rFonts w:ascii="Georgia" w:cs="Georgia" w:eastAsia="Georgia" w:hAnsi="Georgia"/>
                <w:b/>
                <w:bCs/>
                <w:color w:val="C9A23F"/>
                <w:sz w:val="34"/>
                <w:szCs w:val="34"/>
              </w:rPr>
              <w:t xml:space="preserve">11</w:t>
            </w:r>
          </w:p>
        </w:tc>
        <w:tc>
          <w:tcPr>
            <w:tcW w:type="dxa" w:w="8460"/>
            <w:tcBorders>
              <w:top w:val="none"/>
              <w:left w:val="none"/>
              <w:bottom w:val="none"/>
              <w:right w:val="none"/>
            </w:tcBorders>
            <w:tcMar>
              <w:top w:type="dxa" w:w="80"/>
              <w:left w:type="dxa" w:w="40"/>
              <w:bottom w:type="dxa" w:w="80"/>
              <w:right w:type="dxa" w:w="20"/>
            </w:tcMar>
            <w:vAlign w:val="center"/>
          </w:tcPr>
          <w:p>
            <w:pPr>
              <w:spacing w:after="20"/>
            </w:pPr>
            <w:r>
              <w:rPr>
                <w:rFonts w:ascii="Arial" w:cs="Arial" w:eastAsia="Arial" w:hAnsi="Arial"/>
                <w:b/>
                <w:bCs/>
                <w:color w:val="0C2438"/>
                <w:sz w:val="23"/>
                <w:szCs w:val="23"/>
              </w:rPr>
              <w:t xml:space="preserve">Internal Member Product Program</w:t>
            </w:r>
          </w:p>
          <w:p>
            <w:r>
              <w:rPr>
                <w:rFonts w:ascii="Arial" w:cs="Arial" w:eastAsia="Arial" w:hAnsi="Arial"/>
                <w:color w:val="5C6675"/>
                <w:sz w:val="18"/>
                <w:szCs w:val="18"/>
              </w:rPr>
              <w:t xml:space="preserve">Internal adoption philosophy, objectives, and member pricing</w:t>
            </w:r>
          </w:p>
        </w:tc>
      </w:tr>
    </w:tbl>
    <w:tbl>
      <w:tblPr>
        <w:tblW w:type="dxa" w:w="9360"/>
        <w:tblBorders>
          <w:top w:val="none"/>
          <w:left w:val="none"/>
          <w:bottom w:val="single" w:color="E7ECF2" w:sz="2"/>
          <w:right w:val="none"/>
          <w:insideH w:val="none"/>
          <w:insideV w:val="none"/>
        </w:tblBorders>
      </w:tblPr>
      <w:tblGrid>
        <w:gridCol w:w="900"/>
        <w:gridCol w:w="8460"/>
      </w:tblGrid>
      <w:tr>
        <w:tc>
          <w:tcPr>
            <w:tcW w:type="dxa" w:w="900"/>
            <w:tcBorders>
              <w:top w:val="none"/>
              <w:left w:val="none"/>
              <w:bottom w:val="none"/>
              <w:right w:val="none"/>
            </w:tcBorders>
            <w:tcMar>
              <w:top w:type="dxa" w:w="80"/>
              <w:left w:type="dxa" w:w="20"/>
              <w:bottom w:type="dxa" w:w="80"/>
              <w:right w:type="dxa" w:w="60"/>
            </w:tcMar>
            <w:vAlign w:val="center"/>
          </w:tcPr>
          <w:p>
            <w:r>
              <w:rPr>
                <w:rFonts w:ascii="Georgia" w:cs="Georgia" w:eastAsia="Georgia" w:hAnsi="Georgia"/>
                <w:b/>
                <w:bCs/>
                <w:color w:val="C9A23F"/>
                <w:sz w:val="34"/>
                <w:szCs w:val="34"/>
              </w:rPr>
              <w:t xml:space="preserve">12</w:t>
            </w:r>
          </w:p>
        </w:tc>
        <w:tc>
          <w:tcPr>
            <w:tcW w:type="dxa" w:w="8460"/>
            <w:tcBorders>
              <w:top w:val="none"/>
              <w:left w:val="none"/>
              <w:bottom w:val="none"/>
              <w:right w:val="none"/>
            </w:tcBorders>
            <w:tcMar>
              <w:top w:type="dxa" w:w="80"/>
              <w:left w:type="dxa" w:w="40"/>
              <w:bottom w:type="dxa" w:w="80"/>
              <w:right w:type="dxa" w:w="20"/>
            </w:tcMar>
            <w:vAlign w:val="center"/>
          </w:tcPr>
          <w:p>
            <w:pPr>
              <w:spacing w:after="20"/>
            </w:pPr>
            <w:r>
              <w:rPr>
                <w:rFonts w:ascii="Arial" w:cs="Arial" w:eastAsia="Arial" w:hAnsi="Arial"/>
                <w:b/>
                <w:bCs/>
                <w:color w:val="0C2438"/>
                <w:sz w:val="23"/>
                <w:szCs w:val="23"/>
              </w:rPr>
              <w:t xml:space="preserve">Blended Income &amp; Producer Models</w:t>
            </w:r>
          </w:p>
          <w:p>
            <w:r>
              <w:rPr>
                <w:rFonts w:ascii="Arial" w:cs="Arial" w:eastAsia="Arial" w:hAnsi="Arial"/>
                <w:color w:val="5C6675"/>
                <w:sz w:val="18"/>
                <w:szCs w:val="18"/>
              </w:rPr>
              <w:t xml:space="preserve">Six illustrative producer economic profiles</w:t>
            </w:r>
          </w:p>
        </w:tc>
      </w:tr>
    </w:tbl>
    <w:p>
      <w:r>
        <w:br w:type="page"/>
      </w:r>
    </w:p>
    <w:p>
      <w:pPr>
        <w:spacing w:after="380"/>
      </w:pPr>
      <w:r>
        <w:rPr>
          <w:rFonts w:ascii="Arial" w:cs="Arial" w:eastAsia="Arial" w:hAnsi="Arial"/>
        </w:rPr>
        <w:t xml:space="preserve"/>
      </w:r>
    </w:p>
    <w:p>
      <w:pPr>
        <w:spacing w:after="0"/>
        <w:jc w:val="left"/>
      </w:pPr>
      <w:r>
        <w:rPr>
          <w:rFonts w:ascii="Arial" w:cs="Arial" w:eastAsia="Arial" w:hAnsi="Arial"/>
          <w:b/>
          <w:bCs/>
          <w:color w:val="9A7A28"/>
          <w:spacing w:val="60"/>
          <w:sz w:val="20"/>
          <w:szCs w:val="20"/>
        </w:rPr>
        <w:t xml:space="preserve">SECTION</w:t>
      </w:r>
    </w:p>
    <w:p>
      <w:pPr>
        <w:spacing w:after="60"/>
        <w:jc w:val="left"/>
      </w:pPr>
      <w:r>
        <w:rPr>
          <w:rFonts w:ascii="Georgia" w:cs="Georgia" w:eastAsia="Georgia" w:hAnsi="Georgia"/>
          <w:b/>
          <w:bCs/>
          <w:color w:val="16395C"/>
          <w:sz w:val="150"/>
          <w:szCs w:val="150"/>
        </w:rPr>
        <w:t xml:space="preserve">01</w:t>
      </w:r>
    </w:p>
    <w:p>
      <w:pPr>
        <w:pBdr>
          <w:bottom w:val="single" w:color="C9A23F" w:sz="20" w:space="10"/>
        </w:pBdr>
        <w:spacing w:after="160"/>
      </w:pPr>
      <w:r>
        <w:rPr>
          <w:rFonts w:ascii="Georgia" w:cs="Georgia" w:eastAsia="Georgia" w:hAnsi="Georgia"/>
          <w:b/>
          <w:bCs/>
          <w:color w:val="0C2438"/>
          <w:sz w:val="40"/>
          <w:szCs w:val="40"/>
        </w:rPr>
        <w:t xml:space="preserve">Introduction &amp; Guiding Principles</w:t>
      </w:r>
    </w:p>
    <w:p>
      <w:pPr>
        <w:spacing w:after="260"/>
      </w:pPr>
      <w:r>
        <w:rPr>
          <w:rFonts w:ascii="Arial" w:cs="Arial" w:eastAsia="Arial" w:hAnsi="Arial"/>
          <w:i/>
          <w:iCs/>
          <w:color w:val="2E6E9E"/>
          <w:sz w:val="24"/>
          <w:szCs w:val="24"/>
        </w:rPr>
        <w:t xml:space="preserve">Compensation is a strategic asset. It shapes behavior, culture, and enterprise value.</w:t>
      </w:r>
    </w:p>
    <w:p>
      <w:pPr>
        <w:spacing w:after="80" w:before="120"/>
      </w:pPr>
      <w:r>
        <w:rPr>
          <w:rFonts w:ascii="Arial" w:cs="Arial" w:eastAsia="Arial" w:hAnsi="Arial"/>
          <w:b/>
          <w:bCs/>
          <w:color w:val="5C6675"/>
          <w:spacing w:val="24"/>
          <w:sz w:val="16"/>
          <w:szCs w:val="16"/>
        </w:rPr>
        <w:t xml:space="preserve">IN THIS SECTION</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Why the compensation architecture exists</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Design objectives &amp; core principles</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Alignment philosophy</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Long-term enterprise focus</w:t>
      </w:r>
    </w:p>
    <w:p>
      <w:r>
        <w:br w:type="page"/>
      </w:r>
    </w:p>
    <w:p>
      <w:pPr>
        <w:keepNext/>
        <w:spacing w:after="40" w:before="160"/>
      </w:pPr>
      <w:r>
        <w:rPr>
          <w:rFonts w:ascii="Arial" w:cs="Arial" w:eastAsia="Arial" w:hAnsi="Arial"/>
          <w:b/>
          <w:bCs/>
          <w:color w:val="9A7A28"/>
          <w:spacing w:val="26"/>
          <w:sz w:val="17"/>
          <w:szCs w:val="17"/>
        </w:rPr>
        <w:t xml:space="preserve">EXECUTIVE SUMMARY</w:t>
      </w:r>
    </w:p>
    <w:p>
      <w:pPr>
        <w:spacing w:after="200" w:line="300"/>
      </w:pPr>
      <w:r>
        <w:rPr>
          <w:rFonts w:ascii="Arial" w:cs="Arial" w:eastAsia="Arial" w:hAnsi="Arial"/>
          <w:color w:val="16395C"/>
          <w:sz w:val="23"/>
          <w:szCs w:val="23"/>
        </w:rPr>
        <w:t xml:space="preserve">LeaderShield's compensation architecture has been intentionally designed to support the long-term objectives of the enterprise while creating attractive and sustainable economic opportunities for producers, agency owners, strategic partners, and shareholders.</w:t>
      </w:r>
    </w:p>
    <w:p>
      <w:pPr>
        <w:spacing w:after="140" w:before="0" w:line="276"/>
      </w:pPr>
      <w:r>
        <w:rPr>
          <w:rFonts w:ascii="Arial" w:cs="Arial" w:eastAsia="Arial" w:hAnsi="Arial"/>
          <w:color w:val="1E2733"/>
          <w:sz w:val="21"/>
          <w:szCs w:val="21"/>
        </w:rPr>
        <w:t xml:space="preserve">Management believes that compensation systems represent one of the most important strategic assets within the organization. Compensation influences behavior. Behavior influences culture. Culture influences enterprise value.</w:t>
      </w:r>
    </w:p>
    <w:tbl>
      <w:tblPr>
        <w:tblW w:type="dxa" w:w="9360"/>
        <w:tblBorders>
          <w:top w:val="single" w:color="EAF0F6" w:sz="2"/>
          <w:left w:val="single" w:color="2E6E9E" w:sz="30"/>
          <w:bottom w:val="single" w:color="EAF0F6" w:sz="2"/>
          <w:right w:val="single" w:color="EAF0F6" w:sz="2"/>
          <w:insideH w:val="single" w:color="auto" w:sz="4"/>
          <w:insideV w:val="single" w:color="auto" w:sz="4"/>
        </w:tblBorders>
      </w:tblPr>
      <w:tblGrid>
        <w:gridCol w:w="9360"/>
      </w:tblGrid>
      <w:tr>
        <w:tc>
          <w:tcPr>
            <w:tcW w:type="dxa" w:w="9360"/>
            <w:shd w:fill="EAF0F6" w:val="clear"/>
            <w:tcMar>
              <w:top w:type="dxa" w:w="150"/>
              <w:left w:type="dxa" w:w="240"/>
              <w:bottom w:type="dxa" w:w="150"/>
              <w:right w:type="dxa" w:w="220"/>
            </w:tcMar>
          </w:tcPr>
          <w:p>
            <w:pPr>
              <w:spacing w:after="0" w:line="280"/>
            </w:pPr>
            <w:r>
              <w:rPr>
                <w:rFonts w:ascii="Arial" w:cs="Arial" w:eastAsia="Arial" w:hAnsi="Arial"/>
                <w:b/>
                <w:bCs/>
                <w:i/>
                <w:iCs/>
                <w:color w:val="0C2438"/>
                <w:sz w:val="23"/>
                <w:szCs w:val="23"/>
              </w:rPr>
              <w:t xml:space="preserve">Compensation influences behavior.  Behavior influences culture.  Culture influences enterprise value.</w:t>
            </w:r>
          </w:p>
        </w:tc>
      </w:tr>
    </w:tbl>
    <w:p>
      <w:pPr>
        <w:spacing w:after="140" w:before="0" w:line="276"/>
      </w:pPr>
      <w:r>
        <w:rPr>
          <w:rFonts w:ascii="Arial" w:cs="Arial" w:eastAsia="Arial" w:hAnsi="Arial"/>
          <w:color w:val="1E2733"/>
          <w:sz w:val="21"/>
          <w:szCs w:val="21"/>
        </w:rPr>
        <w:t xml:space="preserve">Unlike many traditional organizations that rely upon a single source of revenue, LeaderShield has been designed around three interconnected economic engines.</w:t>
      </w:r>
    </w:p>
    <w:p>
      <w:pPr>
        <w:keepNext/>
        <w:spacing w:after="70" w:before="200"/>
      </w:pPr>
      <w:r>
        <w:rPr>
          <w:rFonts w:ascii="Arial" w:cs="Arial" w:eastAsia="Arial" w:hAnsi="Arial"/>
          <w:b/>
          <w:bCs/>
          <w:color w:val="C9A23F"/>
          <w:sz w:val="22"/>
          <w:szCs w:val="22"/>
        </w:rPr>
        <w:t xml:space="preserve">▍ </w:t>
      </w:r>
      <w:r>
        <w:rPr>
          <w:rFonts w:ascii="Arial" w:cs="Arial" w:eastAsia="Arial" w:hAnsi="Arial"/>
          <w:b/>
          <w:bCs/>
          <w:color w:val="0C2438"/>
          <w:sz w:val="22"/>
          <w:szCs w:val="22"/>
        </w:rPr>
        <w:t xml:space="preserve">The Three Economic Engines</w:t>
      </w:r>
    </w:p>
    <w:p>
      <w:pPr>
        <w:pStyle w:val="ListParagraph"/>
        <w:numPr>
          <w:ilvl w:val="0"/>
          <w:numId w:val="3"/>
        </w:numPr>
        <w:spacing w:after="56" w:line="268"/>
      </w:pPr>
      <w:r>
        <w:rPr>
          <w:rFonts w:ascii="Arial" w:cs="Arial" w:eastAsia="Arial" w:hAnsi="Arial"/>
          <w:b/>
          <w:bCs/>
          <w:color w:val="0C2438"/>
          <w:sz w:val="21"/>
          <w:szCs w:val="21"/>
        </w:rPr>
        <w:t xml:space="preserve">The Capital Engine </w:t>
      </w:r>
      <w:r>
        <w:rPr>
          <w:rFonts w:ascii="Arial" w:cs="Arial" w:eastAsia="Arial" w:hAnsi="Arial"/>
          <w:color w:val="1E2733"/>
          <w:sz w:val="21"/>
          <w:szCs w:val="21"/>
        </w:rPr>
        <w:t xml:space="preserve">generates transactional revenue through Merchant Cash Advance origination and funding activities.</w:t>
      </w:r>
    </w:p>
    <w:p>
      <w:pPr>
        <w:pStyle w:val="ListParagraph"/>
        <w:numPr>
          <w:ilvl w:val="0"/>
          <w:numId w:val="3"/>
        </w:numPr>
        <w:spacing w:after="56" w:line="268"/>
      </w:pPr>
      <w:r>
        <w:rPr>
          <w:rFonts w:ascii="Arial" w:cs="Arial" w:eastAsia="Arial" w:hAnsi="Arial"/>
          <w:b/>
          <w:bCs/>
          <w:color w:val="0C2438"/>
          <w:sz w:val="21"/>
          <w:szCs w:val="21"/>
        </w:rPr>
        <w:t xml:space="preserve">The Merchant Growth Platform </w:t>
      </w:r>
      <w:r>
        <w:rPr>
          <w:rFonts w:ascii="Arial" w:cs="Arial" w:eastAsia="Arial" w:hAnsi="Arial"/>
          <w:color w:val="1E2733"/>
          <w:sz w:val="21"/>
          <w:szCs w:val="21"/>
        </w:rPr>
        <w:t xml:space="preserve">generates recurring revenue and contribution EBITDA through subscription products and merchant growth systems.</w:t>
      </w:r>
    </w:p>
    <w:p>
      <w:pPr>
        <w:pStyle w:val="ListParagraph"/>
        <w:numPr>
          <w:ilvl w:val="0"/>
          <w:numId w:val="3"/>
        </w:numPr>
        <w:spacing w:after="140" w:line="268"/>
      </w:pPr>
      <w:r>
        <w:rPr>
          <w:rFonts w:ascii="Arial" w:cs="Arial" w:eastAsia="Arial" w:hAnsi="Arial"/>
          <w:b/>
          <w:bCs/>
          <w:color w:val="0C2438"/>
          <w:sz w:val="21"/>
          <w:szCs w:val="21"/>
        </w:rPr>
        <w:t xml:space="preserve">The Distribution Engine </w:t>
      </w:r>
      <w:r>
        <w:rPr>
          <w:rFonts w:ascii="Arial" w:cs="Arial" w:eastAsia="Arial" w:hAnsi="Arial"/>
          <w:color w:val="1E2733"/>
          <w:sz w:val="21"/>
          <w:szCs w:val="21"/>
        </w:rPr>
        <w:t xml:space="preserve">provides scalability and leverage through independent producers, agency organizations, and strategic partnerships.</w:t>
      </w:r>
    </w:p>
    <w:p>
      <w:pPr>
        <w:spacing w:after="140" w:before="0" w:line="276"/>
      </w:pPr>
      <w:r>
        <w:rPr>
          <w:rFonts w:ascii="Arial" w:cs="Arial" w:eastAsia="Arial" w:hAnsi="Arial"/>
          <w:color w:val="1E2733"/>
          <w:sz w:val="21"/>
          <w:szCs w:val="21"/>
        </w:rPr>
        <w:t xml:space="preserve">The compensation architecture has been specifically designed to support and reinforce the interaction of these three engines.</w:t>
      </w:r>
    </w:p>
    <w:p>
      <w:pPr>
        <w:keepNext/>
        <w:pBdr>
          <w:bottom w:val="single" w:color="C9A23F" w:sz="10" w:space="6"/>
        </w:pBdr>
        <w:spacing w:after="120" w:before="300"/>
      </w:pPr>
      <w:r>
        <w:rPr>
          <w:rFonts w:ascii="Arial" w:cs="Arial" w:eastAsia="Arial" w:hAnsi="Arial"/>
          <w:b/>
          <w:bCs/>
          <w:color w:val="16395C"/>
          <w:spacing w:val="14"/>
          <w:sz w:val="24"/>
          <w:szCs w:val="24"/>
        </w:rPr>
        <w:t xml:space="preserve">GUIDING PRINCIPLES</w:t>
      </w:r>
    </w:p>
    <w:p>
      <w:pPr>
        <w:spacing w:after="140" w:before="0" w:line="276"/>
      </w:pPr>
      <w:r>
        <w:rPr>
          <w:rFonts w:ascii="Arial" w:cs="Arial" w:eastAsia="Arial" w:hAnsi="Arial"/>
          <w:color w:val="1E2733"/>
          <w:sz w:val="21"/>
          <w:szCs w:val="21"/>
        </w:rPr>
        <w:t xml:space="preserve">Compensation structures have been designed around several guiding principles. These principles include:</w:t>
      </w:r>
    </w:p>
    <w:p>
      <w:pPr>
        <w:pStyle w:val="ListParagraph"/>
        <w:numPr>
          <w:ilvl w:val="0"/>
          <w:numId w:val="3"/>
        </w:numPr>
        <w:spacing w:after="56" w:line="268"/>
      </w:pPr>
      <w:r>
        <w:rPr>
          <w:rFonts w:ascii="Arial" w:cs="Arial" w:eastAsia="Arial" w:hAnsi="Arial"/>
          <w:color w:val="1E2733"/>
          <w:sz w:val="21"/>
          <w:szCs w:val="21"/>
        </w:rPr>
        <w:t xml:space="preserve">Rewarding relationship creation</w:t>
      </w:r>
    </w:p>
    <w:p>
      <w:pPr>
        <w:pStyle w:val="ListParagraph"/>
        <w:numPr>
          <w:ilvl w:val="0"/>
          <w:numId w:val="3"/>
        </w:numPr>
        <w:spacing w:after="56" w:line="268"/>
      </w:pPr>
      <w:r>
        <w:rPr>
          <w:rFonts w:ascii="Arial" w:cs="Arial" w:eastAsia="Arial" w:hAnsi="Arial"/>
          <w:color w:val="1E2733"/>
          <w:sz w:val="21"/>
          <w:szCs w:val="21"/>
        </w:rPr>
        <w:t xml:space="preserve">Encouraging recurring revenue</w:t>
      </w:r>
    </w:p>
    <w:p>
      <w:pPr>
        <w:pStyle w:val="ListParagraph"/>
        <w:numPr>
          <w:ilvl w:val="0"/>
          <w:numId w:val="3"/>
        </w:numPr>
        <w:spacing w:after="56" w:line="268"/>
      </w:pPr>
      <w:r>
        <w:rPr>
          <w:rFonts w:ascii="Arial" w:cs="Arial" w:eastAsia="Arial" w:hAnsi="Arial"/>
          <w:color w:val="1E2733"/>
          <w:sz w:val="21"/>
          <w:szCs w:val="21"/>
        </w:rPr>
        <w:t xml:space="preserve">Supporting organizational growth</w:t>
      </w:r>
    </w:p>
    <w:p>
      <w:pPr>
        <w:pStyle w:val="ListParagraph"/>
        <w:numPr>
          <w:ilvl w:val="0"/>
          <w:numId w:val="3"/>
        </w:numPr>
        <w:spacing w:after="56" w:line="268"/>
      </w:pPr>
      <w:r>
        <w:rPr>
          <w:rFonts w:ascii="Arial" w:cs="Arial" w:eastAsia="Arial" w:hAnsi="Arial"/>
          <w:color w:val="1E2733"/>
          <w:sz w:val="21"/>
          <w:szCs w:val="21"/>
        </w:rPr>
        <w:t xml:space="preserve">Preserving contribution EBITDA</w:t>
      </w:r>
    </w:p>
    <w:p>
      <w:pPr>
        <w:pStyle w:val="ListParagraph"/>
        <w:numPr>
          <w:ilvl w:val="0"/>
          <w:numId w:val="3"/>
        </w:numPr>
        <w:spacing w:after="56" w:line="268"/>
      </w:pPr>
      <w:r>
        <w:rPr>
          <w:rFonts w:ascii="Arial" w:cs="Arial" w:eastAsia="Arial" w:hAnsi="Arial"/>
          <w:color w:val="1E2733"/>
          <w:sz w:val="21"/>
          <w:szCs w:val="21"/>
        </w:rPr>
        <w:t xml:space="preserve">Protecting platform economics</w:t>
      </w:r>
    </w:p>
    <w:p>
      <w:pPr>
        <w:pStyle w:val="ListParagraph"/>
        <w:numPr>
          <w:ilvl w:val="0"/>
          <w:numId w:val="3"/>
        </w:numPr>
        <w:spacing w:after="56" w:line="268"/>
      </w:pPr>
      <w:r>
        <w:rPr>
          <w:rFonts w:ascii="Arial" w:cs="Arial" w:eastAsia="Arial" w:hAnsi="Arial"/>
          <w:color w:val="1E2733"/>
          <w:sz w:val="21"/>
          <w:szCs w:val="21"/>
        </w:rPr>
        <w:t xml:space="preserve">Promoting merchant retention</w:t>
      </w:r>
    </w:p>
    <w:p>
      <w:pPr>
        <w:pStyle w:val="ListParagraph"/>
        <w:numPr>
          <w:ilvl w:val="0"/>
          <w:numId w:val="3"/>
        </w:numPr>
        <w:spacing w:after="56" w:line="268"/>
      </w:pPr>
      <w:r>
        <w:rPr>
          <w:rFonts w:ascii="Arial" w:cs="Arial" w:eastAsia="Arial" w:hAnsi="Arial"/>
          <w:color w:val="1E2733"/>
          <w:sz w:val="21"/>
          <w:szCs w:val="21"/>
        </w:rPr>
        <w:t xml:space="preserve">Aligning incentives across participants</w:t>
      </w:r>
    </w:p>
    <w:p>
      <w:pPr>
        <w:pStyle w:val="ListParagraph"/>
        <w:numPr>
          <w:ilvl w:val="0"/>
          <w:numId w:val="3"/>
        </w:numPr>
        <w:spacing w:after="140" w:line="268"/>
      </w:pPr>
      <w:r>
        <w:rPr>
          <w:rFonts w:ascii="Arial" w:cs="Arial" w:eastAsia="Arial" w:hAnsi="Arial"/>
          <w:color w:val="1E2733"/>
          <w:sz w:val="21"/>
          <w:szCs w:val="21"/>
        </w:rPr>
        <w:t xml:space="preserve">Increasing enterprise value</w:t>
      </w:r>
    </w:p>
    <w:p>
      <w:pPr>
        <w:spacing w:after="140" w:before="0" w:line="276"/>
      </w:pPr>
      <w:r>
        <w:rPr>
          <w:rFonts w:ascii="Arial" w:cs="Arial" w:eastAsia="Arial" w:hAnsi="Arial"/>
          <w:color w:val="1E2733"/>
          <w:sz w:val="21"/>
          <w:szCs w:val="21"/>
        </w:rPr>
        <w:t xml:space="preserve">This document has been prepared to provide ownership, executive leadership, finance, operations, and authorized internal stakeholders with a comprehensive understanding of the economic architecture supporting the LeaderShield ecosystem.</w:t>
      </w:r>
    </w:p>
    <w:p>
      <w:pPr>
        <w:spacing w:after="140" w:before="0" w:line="276"/>
      </w:pPr>
      <w:r>
        <w:rPr>
          <w:rFonts w:ascii="Arial" w:cs="Arial" w:eastAsia="Arial" w:hAnsi="Arial"/>
          <w:color w:val="1E2733"/>
          <w:sz w:val="21"/>
          <w:szCs w:val="21"/>
        </w:rPr>
        <w:t xml:space="preserve">The purpose of this manual is not merely to explain </w:t>
      </w:r>
      <w:r>
        <w:rPr>
          <w:rFonts w:ascii="Arial" w:cs="Arial" w:eastAsia="Arial" w:hAnsi="Arial"/>
          <w:b/>
          <w:bCs/>
          <w:i/>
          <w:iCs/>
          <w:color w:val="0C2438"/>
          <w:sz w:val="21"/>
          <w:szCs w:val="21"/>
        </w:rPr>
        <w:t xml:space="preserve">how</w:t>
      </w:r>
      <w:r>
        <w:rPr>
          <w:rFonts w:ascii="Arial" w:cs="Arial" w:eastAsia="Arial" w:hAnsi="Arial"/>
          <w:color w:val="1E2733"/>
          <w:sz w:val="21"/>
          <w:szCs w:val="21"/>
        </w:rPr>
        <w:t xml:space="preserve"> compensation is paid. Its purpose is to explain </w:t>
      </w:r>
      <w:r>
        <w:rPr>
          <w:rFonts w:ascii="Arial" w:cs="Arial" w:eastAsia="Arial" w:hAnsi="Arial"/>
          <w:b/>
          <w:bCs/>
          <w:i/>
          <w:iCs/>
          <w:color w:val="0C2438"/>
          <w:sz w:val="21"/>
          <w:szCs w:val="21"/>
        </w:rPr>
        <w:t xml:space="preserve">why</w:t>
      </w:r>
      <w:r>
        <w:rPr>
          <w:rFonts w:ascii="Arial" w:cs="Arial" w:eastAsia="Arial" w:hAnsi="Arial"/>
          <w:color w:val="1E2733"/>
          <w:sz w:val="21"/>
          <w:szCs w:val="21"/>
        </w:rPr>
        <w:t xml:space="preserve"> the compensation system has been designed the way it has, how money flows throughout the enterprise, and how those flows support the long-term value-creation objectives of the organization.</w:t>
      </w:r>
    </w:p>
    <w:p>
      <w:r>
        <w:br w:type="page"/>
      </w:r>
    </w:p>
    <w:p>
      <w:pPr>
        <w:spacing w:after="380"/>
      </w:pPr>
      <w:r>
        <w:rPr>
          <w:rFonts w:ascii="Arial" w:cs="Arial" w:eastAsia="Arial" w:hAnsi="Arial"/>
        </w:rPr>
        <w:t xml:space="preserve"/>
      </w:r>
    </w:p>
    <w:p>
      <w:pPr>
        <w:spacing w:after="0"/>
        <w:jc w:val="left"/>
      </w:pPr>
      <w:r>
        <w:rPr>
          <w:rFonts w:ascii="Arial" w:cs="Arial" w:eastAsia="Arial" w:hAnsi="Arial"/>
          <w:b/>
          <w:bCs/>
          <w:color w:val="9A7A28"/>
          <w:spacing w:val="60"/>
          <w:sz w:val="20"/>
          <w:szCs w:val="20"/>
        </w:rPr>
        <w:t xml:space="preserve">SECTION</w:t>
      </w:r>
    </w:p>
    <w:p>
      <w:pPr>
        <w:spacing w:after="60"/>
        <w:jc w:val="left"/>
      </w:pPr>
      <w:r>
        <w:rPr>
          <w:rFonts w:ascii="Georgia" w:cs="Georgia" w:eastAsia="Georgia" w:hAnsi="Georgia"/>
          <w:b/>
          <w:bCs/>
          <w:color w:val="16395C"/>
          <w:sz w:val="150"/>
          <w:szCs w:val="150"/>
        </w:rPr>
        <w:t xml:space="preserve">02</w:t>
      </w:r>
    </w:p>
    <w:p>
      <w:pPr>
        <w:pBdr>
          <w:bottom w:val="single" w:color="C9A23F" w:sz="20" w:space="10"/>
        </w:pBdr>
        <w:spacing w:after="160"/>
      </w:pPr>
      <w:r>
        <w:rPr>
          <w:rFonts w:ascii="Georgia" w:cs="Georgia" w:eastAsia="Georgia" w:hAnsi="Georgia"/>
          <w:b/>
          <w:bCs/>
          <w:color w:val="0C2438"/>
          <w:sz w:val="40"/>
          <w:szCs w:val="40"/>
        </w:rPr>
        <w:t xml:space="preserve">Compensation Design Principles</w:t>
      </w:r>
    </w:p>
    <w:p>
      <w:pPr>
        <w:spacing w:after="260"/>
      </w:pPr>
      <w:r>
        <w:rPr>
          <w:rFonts w:ascii="Arial" w:cs="Arial" w:eastAsia="Arial" w:hAnsi="Arial"/>
          <w:i/>
          <w:iCs/>
          <w:color w:val="2E6E9E"/>
          <w:sz w:val="24"/>
          <w:szCs w:val="24"/>
        </w:rPr>
        <w:t xml:space="preserve">Designed intentionally, not reactively — to build resilient organizations and durable culture.</w:t>
      </w:r>
    </w:p>
    <w:p>
      <w:pPr>
        <w:spacing w:after="80" w:before="120"/>
      </w:pPr>
      <w:r>
        <w:rPr>
          <w:rFonts w:ascii="Arial" w:cs="Arial" w:eastAsia="Arial" w:hAnsi="Arial"/>
          <w:b/>
          <w:bCs/>
          <w:color w:val="5C6675"/>
          <w:spacing w:val="24"/>
          <w:sz w:val="16"/>
          <w:szCs w:val="16"/>
        </w:rPr>
        <w:t xml:space="preserve">IN THIS SECTION</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Multiple economic engines</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Residual income philosophy</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Contribution EBITDA protection</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Flexibility &amp; organizational ownership</w:t>
      </w:r>
    </w:p>
    <w:p>
      <w:r>
        <w:br w:type="page"/>
      </w:r>
    </w:p>
    <w:p>
      <w:pPr>
        <w:spacing w:after="200" w:line="300"/>
      </w:pPr>
      <w:r>
        <w:rPr>
          <w:rFonts w:ascii="Arial" w:cs="Arial" w:eastAsia="Arial" w:hAnsi="Arial"/>
          <w:color w:val="16395C"/>
          <w:sz w:val="23"/>
          <w:szCs w:val="23"/>
        </w:rPr>
        <w:t xml:space="preserve">LeaderShield believes that compensation systems should be designed intentionally rather than reactively. Incentives influence behavior, behavior influences culture, and culture influences enterprise value.</w:t>
      </w:r>
    </w:p>
    <w:p>
      <w:pPr>
        <w:keepNext/>
        <w:pBdr>
          <w:bottom w:val="single" w:color="C9A23F" w:sz="10" w:space="6"/>
        </w:pBdr>
        <w:spacing w:after="120" w:before="300"/>
      </w:pPr>
      <w:r>
        <w:rPr>
          <w:rFonts w:ascii="Arial" w:cs="Arial" w:eastAsia="Arial" w:hAnsi="Arial"/>
          <w:b/>
          <w:bCs/>
          <w:color w:val="16395C"/>
          <w:spacing w:val="14"/>
          <w:sz w:val="24"/>
          <w:szCs w:val="24"/>
        </w:rPr>
        <w:t xml:space="preserve">MULTIPLE ECONOMIC ENGINES</w:t>
      </w:r>
    </w:p>
    <w:p>
      <w:pPr>
        <w:spacing w:after="140" w:before="0" w:line="276"/>
      </w:pPr>
      <w:r>
        <w:rPr>
          <w:rFonts w:ascii="Arial" w:cs="Arial" w:eastAsia="Arial" w:hAnsi="Arial"/>
          <w:color w:val="1E2733"/>
          <w:sz w:val="21"/>
          <w:szCs w:val="21"/>
        </w:rPr>
        <w:t xml:space="preserve">Traditional compensation systems are often built around a single source of revenue. LeaderShield has intentionally designed compensation around three interconnected economic engines: the Capital Engine, the Merchant Growth Platform, and the Distribution Engine.</w:t>
      </w:r>
    </w:p>
    <w:p>
      <w:pPr>
        <w:spacing w:after="140" w:before="0" w:line="276"/>
      </w:pPr>
      <w:r>
        <w:rPr>
          <w:rFonts w:ascii="Arial" w:cs="Arial" w:eastAsia="Arial" w:hAnsi="Arial"/>
          <w:color w:val="1E2733"/>
          <w:sz w:val="21"/>
          <w:szCs w:val="21"/>
        </w:rPr>
        <w:t xml:space="preserve">Each engine possesses different economic characteristics. Transactional revenue produces immediate cash flow. Recurring revenue produces predictable contribution EBITDA. Distribution creates leverage and scalability. Accordingly, compensation structures must reflect these differences.</w:t>
      </w:r>
    </w:p>
    <w:p>
      <w:pPr>
        <w:spacing w:after="140" w:before="0" w:line="276"/>
      </w:pPr>
      <w:r>
        <w:rPr>
          <w:rFonts w:ascii="Arial" w:cs="Arial" w:eastAsia="Arial" w:hAnsi="Arial"/>
          <w:color w:val="1E2733"/>
          <w:sz w:val="21"/>
          <w:szCs w:val="21"/>
        </w:rPr>
        <w:t xml:space="preserve">Participants are therefore provided opportunities to benefit from:</w:t>
      </w:r>
    </w:p>
    <w:p>
      <w:pPr>
        <w:pStyle w:val="ListParagraph"/>
        <w:numPr>
          <w:ilvl w:val="0"/>
          <w:numId w:val="3"/>
        </w:numPr>
        <w:spacing w:after="56" w:line="268"/>
      </w:pPr>
      <w:r>
        <w:rPr>
          <w:rFonts w:ascii="Arial" w:cs="Arial" w:eastAsia="Arial" w:hAnsi="Arial"/>
          <w:color w:val="1E2733"/>
          <w:sz w:val="21"/>
          <w:szCs w:val="21"/>
        </w:rPr>
        <w:t xml:space="preserve">Transactional revenue</w:t>
      </w:r>
    </w:p>
    <w:p>
      <w:pPr>
        <w:pStyle w:val="ListParagraph"/>
        <w:numPr>
          <w:ilvl w:val="0"/>
          <w:numId w:val="3"/>
        </w:numPr>
        <w:spacing w:after="56" w:line="268"/>
      </w:pPr>
      <w:r>
        <w:rPr>
          <w:rFonts w:ascii="Arial" w:cs="Arial" w:eastAsia="Arial" w:hAnsi="Arial"/>
          <w:color w:val="1E2733"/>
          <w:sz w:val="21"/>
          <w:szCs w:val="21"/>
        </w:rPr>
        <w:t xml:space="preserve">Subscription revenue</w:t>
      </w:r>
    </w:p>
    <w:p>
      <w:pPr>
        <w:pStyle w:val="ListParagraph"/>
        <w:numPr>
          <w:ilvl w:val="0"/>
          <w:numId w:val="3"/>
        </w:numPr>
        <w:spacing w:after="56" w:line="268"/>
      </w:pPr>
      <w:r>
        <w:rPr>
          <w:rFonts w:ascii="Arial" w:cs="Arial" w:eastAsia="Arial" w:hAnsi="Arial"/>
          <w:color w:val="1E2733"/>
          <w:sz w:val="21"/>
          <w:szCs w:val="21"/>
        </w:rPr>
        <w:t xml:space="preserve">Residual income</w:t>
      </w:r>
    </w:p>
    <w:p>
      <w:pPr>
        <w:pStyle w:val="ListParagraph"/>
        <w:numPr>
          <w:ilvl w:val="0"/>
          <w:numId w:val="3"/>
        </w:numPr>
        <w:spacing w:after="56" w:line="268"/>
      </w:pPr>
      <w:r>
        <w:rPr>
          <w:rFonts w:ascii="Arial" w:cs="Arial" w:eastAsia="Arial" w:hAnsi="Arial"/>
          <w:color w:val="1E2733"/>
          <w:sz w:val="21"/>
          <w:szCs w:val="21"/>
        </w:rPr>
        <w:t xml:space="preserve">Agency overrides</w:t>
      </w:r>
    </w:p>
    <w:p>
      <w:pPr>
        <w:pStyle w:val="ListParagraph"/>
        <w:numPr>
          <w:ilvl w:val="0"/>
          <w:numId w:val="3"/>
        </w:numPr>
        <w:spacing w:after="56" w:line="268"/>
      </w:pPr>
      <w:r>
        <w:rPr>
          <w:rFonts w:ascii="Arial" w:cs="Arial" w:eastAsia="Arial" w:hAnsi="Arial"/>
          <w:color w:val="1E2733"/>
          <w:sz w:val="21"/>
          <w:szCs w:val="21"/>
        </w:rPr>
        <w:t xml:space="preserve">Leadership incentives</w:t>
      </w:r>
    </w:p>
    <w:p>
      <w:pPr>
        <w:pStyle w:val="ListParagraph"/>
        <w:numPr>
          <w:ilvl w:val="0"/>
          <w:numId w:val="3"/>
        </w:numPr>
        <w:spacing w:after="140" w:line="268"/>
      </w:pPr>
      <w:r>
        <w:rPr>
          <w:rFonts w:ascii="Arial" w:cs="Arial" w:eastAsia="Arial" w:hAnsi="Arial"/>
          <w:color w:val="1E2733"/>
          <w:sz w:val="21"/>
          <w:szCs w:val="21"/>
        </w:rPr>
        <w:t xml:space="preserve">Performance accelerators</w:t>
      </w:r>
    </w:p>
    <w:p>
      <w:pPr>
        <w:spacing w:after="140" w:before="0" w:line="276"/>
      </w:pPr>
      <w:r>
        <w:rPr>
          <w:rFonts w:ascii="Arial" w:cs="Arial" w:eastAsia="Arial" w:hAnsi="Arial"/>
          <w:color w:val="1E2733"/>
          <w:sz w:val="21"/>
          <w:szCs w:val="21"/>
        </w:rPr>
        <w:t xml:space="preserve">This diversified approach reduces dependence upon any single source of compensation and encourages long-term participation.</w:t>
      </w:r>
    </w:p>
    <w:p>
      <w:pPr>
        <w:keepNext/>
        <w:pBdr>
          <w:bottom w:val="single" w:color="C9A23F" w:sz="10" w:space="6"/>
        </w:pBdr>
        <w:spacing w:after="120" w:before="300"/>
      </w:pPr>
      <w:r>
        <w:rPr>
          <w:rFonts w:ascii="Arial" w:cs="Arial" w:eastAsia="Arial" w:hAnsi="Arial"/>
          <w:b/>
          <w:bCs/>
          <w:color w:val="16395C"/>
          <w:spacing w:val="14"/>
          <w:sz w:val="24"/>
          <w:szCs w:val="24"/>
        </w:rPr>
        <w:t xml:space="preserve">RESIDUAL INCOME PHILOSOPHY</w:t>
      </w:r>
    </w:p>
    <w:p>
      <w:pPr>
        <w:spacing w:after="140" w:before="0" w:line="276"/>
      </w:pPr>
      <w:r>
        <w:rPr>
          <w:rFonts w:ascii="Arial" w:cs="Arial" w:eastAsia="Arial" w:hAnsi="Arial"/>
          <w:color w:val="1E2733"/>
          <w:sz w:val="21"/>
          <w:szCs w:val="21"/>
        </w:rPr>
        <w:t xml:space="preserve">Residual income represents one of the defining characteristics of the LeaderShield model. Management believes that recurring income produces stronger organizations because it encourages producers to think beyond individual sales.</w:t>
      </w:r>
    </w:p>
    <w:p>
      <w:pPr>
        <w:spacing w:after="140" w:before="0" w:line="276"/>
      </w:pPr>
      <w:r>
        <w:rPr>
          <w:rFonts w:ascii="Arial" w:cs="Arial" w:eastAsia="Arial" w:hAnsi="Arial"/>
          <w:color w:val="1E2733"/>
          <w:sz w:val="21"/>
          <w:szCs w:val="21"/>
        </w:rPr>
        <w:t xml:space="preserve">Residual compensation creates improved retention, greater loyalty, stronger recruiting, increased organizational stability, and better merchant outcomes. The organization believes that recurring income transforms producers into relationship managers rather than transactional salespeople.</w:t>
      </w:r>
    </w:p>
    <w:tbl>
      <w:tblPr>
        <w:tblW w:type="dxa" w:w="9360"/>
        <w:tblBorders>
          <w:top w:val="single" w:color="EAF0F6" w:sz="2"/>
          <w:left w:val="single" w:color="2E6E9E" w:sz="30"/>
          <w:bottom w:val="single" w:color="EAF0F6" w:sz="2"/>
          <w:right w:val="single" w:color="EAF0F6" w:sz="2"/>
          <w:insideH w:val="single" w:color="auto" w:sz="4"/>
          <w:insideV w:val="single" w:color="auto" w:sz="4"/>
        </w:tblBorders>
      </w:tblPr>
      <w:tblGrid>
        <w:gridCol w:w="9360"/>
      </w:tblGrid>
      <w:tr>
        <w:tc>
          <w:tcPr>
            <w:tcW w:type="dxa" w:w="9360"/>
            <w:shd w:fill="EAF0F6" w:val="clear"/>
            <w:tcMar>
              <w:top w:type="dxa" w:w="150"/>
              <w:left w:type="dxa" w:w="240"/>
              <w:bottom w:type="dxa" w:w="150"/>
              <w:right w:type="dxa" w:w="220"/>
            </w:tcMar>
          </w:tcPr>
          <w:p>
            <w:pPr>
              <w:spacing w:after="60"/>
            </w:pPr>
            <w:r>
              <w:rPr>
                <w:rFonts w:ascii="Arial" w:cs="Arial" w:eastAsia="Arial" w:hAnsi="Arial"/>
                <w:b/>
                <w:bCs/>
                <w:color w:val="2E6E9E"/>
                <w:spacing w:val="18"/>
                <w:sz w:val="17"/>
                <w:szCs w:val="17"/>
              </w:rPr>
              <w:t xml:space="preserve">ALIGNMENT</w:t>
            </w:r>
          </w:p>
          <w:p>
            <w:pPr>
              <w:spacing w:after="0" w:line="280"/>
            </w:pPr>
            <w:r>
              <w:rPr>
                <w:rFonts w:ascii="Arial" w:cs="Arial" w:eastAsia="Arial" w:hAnsi="Arial"/>
                <w:i w:val="false"/>
                <w:iCs w:val="false"/>
                <w:color w:val="0C2438"/>
                <w:sz w:val="21"/>
                <w:szCs w:val="21"/>
              </w:rPr>
              <w:t xml:space="preserve">As merchants remain active and successful, all participants benefit. Residual economics create durable alignment between the interests of producers and the platform.</w:t>
            </w:r>
          </w:p>
        </w:tc>
      </w:tr>
    </w:tbl>
    <w:p>
      <w:pPr>
        <w:keepNext/>
        <w:pBdr>
          <w:bottom w:val="single" w:color="C9A23F" w:sz="10" w:space="6"/>
        </w:pBdr>
        <w:spacing w:after="120" w:before="300"/>
      </w:pPr>
      <w:r>
        <w:rPr>
          <w:rFonts w:ascii="Arial" w:cs="Arial" w:eastAsia="Arial" w:hAnsi="Arial"/>
          <w:b/>
          <w:bCs/>
          <w:color w:val="16395C"/>
          <w:spacing w:val="14"/>
          <w:sz w:val="24"/>
          <w:szCs w:val="24"/>
        </w:rPr>
        <w:t xml:space="preserve">CONTRIBUTION EBITDA PROTECTION</w:t>
      </w:r>
    </w:p>
    <w:p>
      <w:pPr>
        <w:spacing w:after="140" w:before="0" w:line="276"/>
      </w:pPr>
      <w:r>
        <w:rPr>
          <w:rFonts w:ascii="Arial" w:cs="Arial" w:eastAsia="Arial" w:hAnsi="Arial"/>
          <w:color w:val="1E2733"/>
          <w:sz w:val="21"/>
          <w:szCs w:val="21"/>
        </w:rPr>
        <w:t xml:space="preserve">One of the defining characteristics of the architecture is the protection of recurring contribution EBITDA. Recurring revenue creates stability, predictability, operating leverage, and enhanced enterprise value.</w:t>
      </w:r>
    </w:p>
    <w:p>
      <w:pPr>
        <w:spacing w:after="140" w:before="0" w:line="276"/>
      </w:pPr>
      <w:r>
        <w:rPr>
          <w:rFonts w:ascii="Arial" w:cs="Arial" w:eastAsia="Arial" w:hAnsi="Arial"/>
          <w:color w:val="1E2733"/>
          <w:sz w:val="21"/>
          <w:szCs w:val="21"/>
        </w:rPr>
        <w:t xml:space="preserve">Accordingly, compensation mechanisms have been intentionally designed to preserve these characteristics. Examples include:</w:t>
      </w:r>
    </w:p>
    <w:p>
      <w:pPr>
        <w:pStyle w:val="ListParagraph"/>
        <w:numPr>
          <w:ilvl w:val="0"/>
          <w:numId w:val="3"/>
        </w:numPr>
        <w:spacing w:after="56" w:line="268"/>
      </w:pPr>
      <w:r>
        <w:rPr>
          <w:rFonts w:ascii="Arial" w:cs="Arial" w:eastAsia="Arial" w:hAnsi="Arial"/>
          <w:color w:val="1E2733"/>
          <w:sz w:val="21"/>
          <w:szCs w:val="21"/>
        </w:rPr>
        <w:t xml:space="preserve">Decay schedules</w:t>
      </w:r>
    </w:p>
    <w:p>
      <w:pPr>
        <w:pStyle w:val="ListParagraph"/>
        <w:numPr>
          <w:ilvl w:val="0"/>
          <w:numId w:val="3"/>
        </w:numPr>
        <w:spacing w:after="56" w:line="268"/>
      </w:pPr>
      <w:r>
        <w:rPr>
          <w:rFonts w:ascii="Arial" w:cs="Arial" w:eastAsia="Arial" w:hAnsi="Arial"/>
          <w:color w:val="1E2733"/>
          <w:sz w:val="21"/>
          <w:szCs w:val="21"/>
        </w:rPr>
        <w:t xml:space="preserve">Production requirements</w:t>
      </w:r>
    </w:p>
    <w:p>
      <w:pPr>
        <w:pStyle w:val="ListParagraph"/>
        <w:numPr>
          <w:ilvl w:val="0"/>
          <w:numId w:val="3"/>
        </w:numPr>
        <w:spacing w:after="56" w:line="268"/>
      </w:pPr>
      <w:r>
        <w:rPr>
          <w:rFonts w:ascii="Arial" w:cs="Arial" w:eastAsia="Arial" w:hAnsi="Arial"/>
          <w:color w:val="1E2733"/>
          <w:sz w:val="21"/>
          <w:szCs w:val="21"/>
        </w:rPr>
        <w:t xml:space="preserve">Residual governance</w:t>
      </w:r>
    </w:p>
    <w:p>
      <w:pPr>
        <w:pStyle w:val="ListParagraph"/>
        <w:numPr>
          <w:ilvl w:val="0"/>
          <w:numId w:val="3"/>
        </w:numPr>
        <w:spacing w:after="56" w:line="268"/>
      </w:pPr>
      <w:r>
        <w:rPr>
          <w:rFonts w:ascii="Arial" w:cs="Arial" w:eastAsia="Arial" w:hAnsi="Arial"/>
          <w:color w:val="1E2733"/>
          <w:sz w:val="21"/>
          <w:szCs w:val="21"/>
        </w:rPr>
        <w:t xml:space="preserve">Buyout restrictions</w:t>
      </w:r>
    </w:p>
    <w:p>
      <w:pPr>
        <w:pStyle w:val="ListParagraph"/>
        <w:numPr>
          <w:ilvl w:val="0"/>
          <w:numId w:val="3"/>
        </w:numPr>
        <w:spacing w:after="140" w:line="268"/>
      </w:pPr>
      <w:r>
        <w:rPr>
          <w:rFonts w:ascii="Arial" w:cs="Arial" w:eastAsia="Arial" w:hAnsi="Arial"/>
          <w:color w:val="1E2733"/>
          <w:sz w:val="21"/>
          <w:szCs w:val="21"/>
        </w:rPr>
        <w:t xml:space="preserve">Agency override limitations</w:t>
      </w:r>
    </w:p>
    <w:p>
      <w:pPr>
        <w:spacing w:after="140" w:before="0" w:line="276"/>
      </w:pPr>
      <w:r>
        <w:rPr>
          <w:rFonts w:ascii="Arial" w:cs="Arial" w:eastAsia="Arial" w:hAnsi="Arial"/>
          <w:color w:val="1E2733"/>
          <w:sz w:val="21"/>
          <w:szCs w:val="21"/>
        </w:rPr>
        <w:t xml:space="preserve">These mechanisms are not intended to reduce opportunity. Rather, they are intended to preserve the economic health of the platform and ensure that recurring revenue remains a durable asset.</w:t>
      </w:r>
    </w:p>
    <w:p>
      <w:pPr>
        <w:keepNext/>
        <w:pBdr>
          <w:bottom w:val="single" w:color="C9A23F" w:sz="10" w:space="6"/>
        </w:pBdr>
        <w:spacing w:after="120" w:before="300"/>
      </w:pPr>
      <w:r>
        <w:rPr>
          <w:rFonts w:ascii="Arial" w:cs="Arial" w:eastAsia="Arial" w:hAnsi="Arial"/>
          <w:b/>
          <w:bCs/>
          <w:color w:val="16395C"/>
          <w:spacing w:val="14"/>
          <w:sz w:val="24"/>
          <w:szCs w:val="24"/>
        </w:rPr>
        <w:t xml:space="preserve">FLEXIBILITY</w:t>
      </w:r>
    </w:p>
    <w:p>
      <w:pPr>
        <w:spacing w:after="140" w:before="0" w:line="276"/>
      </w:pPr>
      <w:r>
        <w:rPr>
          <w:rFonts w:ascii="Arial" w:cs="Arial" w:eastAsia="Arial" w:hAnsi="Arial"/>
          <w:color w:val="1E2733"/>
          <w:sz w:val="21"/>
          <w:szCs w:val="21"/>
        </w:rPr>
        <w:t xml:space="preserve">LeaderShield recognizes that different organizations possess different operating philosophies. Accordingly, the architecture has been designed to provide flexibility where appropriate. Agency owners may choose structures that best fit their organizations.</w:t>
      </w:r>
    </w:p>
    <w:p>
      <w:pPr>
        <w:spacing w:after="140" w:before="0" w:line="276"/>
      </w:pPr>
      <w:r>
        <w:rPr>
          <w:rFonts w:ascii="Arial" w:cs="Arial" w:eastAsia="Arial" w:hAnsi="Arial"/>
          <w:color w:val="1E2733"/>
          <w:sz w:val="21"/>
          <w:szCs w:val="21"/>
        </w:rPr>
        <w:t xml:space="preserve">This philosophy promotes entrepreneurial freedom, organizational ownership, leadership autonomy, and scalability. Management believes that flexibility strengthens recruiting and allows organizations to optimize according to their own cultures and objectives.</w:t>
      </w:r>
    </w:p>
    <w:p>
      <w:r>
        <w:br w:type="page"/>
      </w:r>
    </w:p>
    <w:p>
      <w:pPr>
        <w:spacing w:after="380"/>
      </w:pPr>
      <w:r>
        <w:rPr>
          <w:rFonts w:ascii="Arial" w:cs="Arial" w:eastAsia="Arial" w:hAnsi="Arial"/>
        </w:rPr>
        <w:t xml:space="preserve"/>
      </w:r>
    </w:p>
    <w:p>
      <w:pPr>
        <w:spacing w:after="0"/>
        <w:jc w:val="left"/>
      </w:pPr>
      <w:r>
        <w:rPr>
          <w:rFonts w:ascii="Arial" w:cs="Arial" w:eastAsia="Arial" w:hAnsi="Arial"/>
          <w:b/>
          <w:bCs/>
          <w:color w:val="9A7A28"/>
          <w:spacing w:val="60"/>
          <w:sz w:val="20"/>
          <w:szCs w:val="20"/>
        </w:rPr>
        <w:t xml:space="preserve">SECTION</w:t>
      </w:r>
    </w:p>
    <w:p>
      <w:pPr>
        <w:spacing w:after="60"/>
        <w:jc w:val="left"/>
      </w:pPr>
      <w:r>
        <w:rPr>
          <w:rFonts w:ascii="Georgia" w:cs="Georgia" w:eastAsia="Georgia" w:hAnsi="Georgia"/>
          <w:b/>
          <w:bCs/>
          <w:color w:val="16395C"/>
          <w:sz w:val="150"/>
          <w:szCs w:val="150"/>
        </w:rPr>
        <w:t xml:space="preserve">03</w:t>
      </w:r>
    </w:p>
    <w:p>
      <w:pPr>
        <w:pBdr>
          <w:bottom w:val="single" w:color="C9A23F" w:sz="20" w:space="10"/>
        </w:pBdr>
        <w:spacing w:after="160"/>
      </w:pPr>
      <w:r>
        <w:rPr>
          <w:rFonts w:ascii="Georgia" w:cs="Georgia" w:eastAsia="Georgia" w:hAnsi="Georgia"/>
          <w:b/>
          <w:bCs/>
          <w:color w:val="0C2438"/>
          <w:sz w:val="40"/>
          <w:szCs w:val="40"/>
        </w:rPr>
        <w:t xml:space="preserve">Revenue Streams</w:t>
      </w:r>
    </w:p>
    <w:p>
      <w:pPr>
        <w:spacing w:after="260"/>
      </w:pPr>
      <w:r>
        <w:rPr>
          <w:rFonts w:ascii="Arial" w:cs="Arial" w:eastAsia="Arial" w:hAnsi="Arial"/>
          <w:i/>
          <w:iCs/>
          <w:color w:val="2E6E9E"/>
          <w:sz w:val="24"/>
          <w:szCs w:val="24"/>
        </w:rPr>
        <w:t xml:space="preserve">Three complementary engines producing transactional cash flow, recurring revenue, and operating leverage.</w:t>
      </w:r>
    </w:p>
    <w:p>
      <w:pPr>
        <w:spacing w:after="80" w:before="120"/>
      </w:pPr>
      <w:r>
        <w:rPr>
          <w:rFonts w:ascii="Arial" w:cs="Arial" w:eastAsia="Arial" w:hAnsi="Arial"/>
          <w:b/>
          <w:bCs/>
          <w:color w:val="5C6675"/>
          <w:spacing w:val="24"/>
          <w:sz w:val="16"/>
          <w:szCs w:val="16"/>
        </w:rPr>
        <w:t xml:space="preserve">IN THIS SECTION</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Capital Engine revenue</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Merchant Growth Platform revenue</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Distribution Engine revenue</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Platform &amp; internal product revenue</w:t>
      </w:r>
    </w:p>
    <w:p>
      <w:r>
        <w:br w:type="page"/>
      </w:r>
    </w:p>
    <w:p>
      <w:pPr>
        <w:spacing w:after="200" w:line="300"/>
      </w:pPr>
      <w:r>
        <w:rPr>
          <w:rFonts w:ascii="Arial" w:cs="Arial" w:eastAsia="Arial" w:hAnsi="Arial"/>
          <w:color w:val="16395C"/>
          <w:sz w:val="23"/>
          <w:szCs w:val="23"/>
        </w:rPr>
        <w:t xml:space="preserve">LeaderShield has been intentionally designed around multiple complementary economic engines rather than dependence upon a single source of revenue.</w:t>
      </w:r>
    </w:p>
    <w:p>
      <w:pPr>
        <w:spacing w:after="140" w:before="0" w:line="276"/>
      </w:pPr>
      <w:r>
        <w:rPr>
          <w:rFonts w:ascii="Arial" w:cs="Arial" w:eastAsia="Arial" w:hAnsi="Arial"/>
          <w:color w:val="1E2733"/>
          <w:sz w:val="21"/>
          <w:szCs w:val="21"/>
        </w:rPr>
        <w:t xml:space="preserve">Management believes that diversified revenue streams create greater resilience, improve contribution EBITDA, and support higher long-term enterprise values. The enterprise consists of three interconnected economic engines, each with different characteristics, economics, and objectives.</w:t>
      </w:r>
    </w:p>
    <w:p>
      <w:pPr>
        <w:keepNext/>
        <w:pBdr>
          <w:bottom w:val="single" w:color="C9A23F" w:sz="10" w:space="6"/>
        </w:pBdr>
        <w:spacing w:after="120" w:before="300"/>
      </w:pPr>
      <w:r>
        <w:rPr>
          <w:rFonts w:ascii="Arial" w:cs="Arial" w:eastAsia="Arial" w:hAnsi="Arial"/>
          <w:b/>
          <w:bCs/>
          <w:color w:val="16395C"/>
          <w:spacing w:val="14"/>
          <w:sz w:val="24"/>
          <w:szCs w:val="24"/>
        </w:rPr>
        <w:t xml:space="preserve">CAPITAL ENGINE REVENUE</w:t>
      </w:r>
    </w:p>
    <w:p>
      <w:pPr>
        <w:spacing w:after="140" w:before="0" w:line="276"/>
      </w:pPr>
      <w:r>
        <w:rPr>
          <w:rFonts w:ascii="Arial" w:cs="Arial" w:eastAsia="Arial" w:hAnsi="Arial"/>
          <w:color w:val="1E2733"/>
          <w:sz w:val="21"/>
          <w:szCs w:val="21"/>
        </w:rPr>
        <w:t xml:space="preserve">The Capital Engine serves as the primary transactional revenue component of the ecosystem. Through its strategic relationship with PMF Premium Merchant Funding and specialized closing agents, LeaderShield participates in merchant funding transactions while maintaining a capital-light operating structure.</w:t>
      </w:r>
    </w:p>
    <w:p>
      <w:pPr>
        <w:spacing w:after="140" w:before="0" w:line="276"/>
      </w:pPr>
      <w:r>
        <w:rPr>
          <w:rFonts w:ascii="Arial" w:cs="Arial" w:eastAsia="Arial" w:hAnsi="Arial"/>
          <w:color w:val="1E2733"/>
          <w:sz w:val="21"/>
          <w:szCs w:val="21"/>
        </w:rPr>
        <w:t xml:space="preserve">Capital products represent the entry point into many merchant relationships and create opportunities for deeper engagement throughout the merchant lifecycle. These revenues are transactional in nature and generally provide immediate cash flow. Capital Engine revenue serves several purposes:</w:t>
      </w:r>
    </w:p>
    <w:p>
      <w:pPr>
        <w:pStyle w:val="ListParagraph"/>
        <w:numPr>
          <w:ilvl w:val="0"/>
          <w:numId w:val="3"/>
        </w:numPr>
        <w:spacing w:after="56" w:line="268"/>
      </w:pPr>
      <w:r>
        <w:rPr>
          <w:rFonts w:ascii="Arial" w:cs="Arial" w:eastAsia="Arial" w:hAnsi="Arial"/>
          <w:color w:val="1E2733"/>
          <w:sz w:val="21"/>
          <w:szCs w:val="21"/>
        </w:rPr>
        <w:t xml:space="preserve">Merchant acquisition</w:t>
      </w:r>
    </w:p>
    <w:p>
      <w:pPr>
        <w:pStyle w:val="ListParagraph"/>
        <w:numPr>
          <w:ilvl w:val="0"/>
          <w:numId w:val="3"/>
        </w:numPr>
        <w:spacing w:after="56" w:line="268"/>
      </w:pPr>
      <w:r>
        <w:rPr>
          <w:rFonts w:ascii="Arial" w:cs="Arial" w:eastAsia="Arial" w:hAnsi="Arial"/>
          <w:color w:val="1E2733"/>
          <w:sz w:val="21"/>
          <w:szCs w:val="21"/>
        </w:rPr>
        <w:t xml:space="preserve">Relationship creation</w:t>
      </w:r>
    </w:p>
    <w:p>
      <w:pPr>
        <w:pStyle w:val="ListParagraph"/>
        <w:numPr>
          <w:ilvl w:val="0"/>
          <w:numId w:val="3"/>
        </w:numPr>
        <w:spacing w:after="56" w:line="268"/>
      </w:pPr>
      <w:r>
        <w:rPr>
          <w:rFonts w:ascii="Arial" w:cs="Arial" w:eastAsia="Arial" w:hAnsi="Arial"/>
          <w:color w:val="1E2733"/>
          <w:sz w:val="21"/>
          <w:szCs w:val="21"/>
        </w:rPr>
        <w:t xml:space="preserve">Transactional profitability</w:t>
      </w:r>
    </w:p>
    <w:p>
      <w:pPr>
        <w:pStyle w:val="ListParagraph"/>
        <w:numPr>
          <w:ilvl w:val="0"/>
          <w:numId w:val="3"/>
        </w:numPr>
        <w:spacing w:after="56" w:line="268"/>
      </w:pPr>
      <w:r>
        <w:rPr>
          <w:rFonts w:ascii="Arial" w:cs="Arial" w:eastAsia="Arial" w:hAnsi="Arial"/>
          <w:color w:val="1E2733"/>
          <w:sz w:val="21"/>
          <w:szCs w:val="21"/>
        </w:rPr>
        <w:t xml:space="preserve">Future funding opportunities</w:t>
      </w:r>
    </w:p>
    <w:p>
      <w:pPr>
        <w:pStyle w:val="ListParagraph"/>
        <w:numPr>
          <w:ilvl w:val="0"/>
          <w:numId w:val="3"/>
        </w:numPr>
        <w:spacing w:after="56" w:line="268"/>
      </w:pPr>
      <w:r>
        <w:rPr>
          <w:rFonts w:ascii="Arial" w:cs="Arial" w:eastAsia="Arial" w:hAnsi="Arial"/>
          <w:color w:val="1E2733"/>
          <w:sz w:val="21"/>
          <w:szCs w:val="21"/>
        </w:rPr>
        <w:t xml:space="preserve">Subscription cross-selling opportunities</w:t>
      </w:r>
    </w:p>
    <w:p>
      <w:pPr>
        <w:pStyle w:val="ListParagraph"/>
        <w:numPr>
          <w:ilvl w:val="0"/>
          <w:numId w:val="3"/>
        </w:numPr>
        <w:spacing w:after="140" w:line="268"/>
      </w:pPr>
      <w:r>
        <w:rPr>
          <w:rFonts w:ascii="Arial" w:cs="Arial" w:eastAsia="Arial" w:hAnsi="Arial"/>
          <w:color w:val="1E2733"/>
          <w:sz w:val="21"/>
          <w:szCs w:val="21"/>
        </w:rPr>
        <w:t xml:space="preserve">Referral generation</w:t>
      </w:r>
    </w:p>
    <w:tbl>
      <w:tblPr>
        <w:tblW w:type="dxa" w:w="9360"/>
        <w:tblBorders>
          <w:top w:val="single" w:color="EAF0F6" w:sz="2"/>
          <w:left w:val="single" w:color="2E6E9E" w:sz="30"/>
          <w:bottom w:val="single" w:color="EAF0F6" w:sz="2"/>
          <w:right w:val="single" w:color="EAF0F6" w:sz="2"/>
          <w:insideH w:val="single" w:color="auto" w:sz="4"/>
          <w:insideV w:val="single" w:color="auto" w:sz="4"/>
        </w:tblBorders>
      </w:tblPr>
      <w:tblGrid>
        <w:gridCol w:w="9360"/>
      </w:tblGrid>
      <w:tr>
        <w:tc>
          <w:tcPr>
            <w:tcW w:type="dxa" w:w="9360"/>
            <w:shd w:fill="EAF0F6" w:val="clear"/>
            <w:tcMar>
              <w:top w:type="dxa" w:w="150"/>
              <w:left w:type="dxa" w:w="240"/>
              <w:bottom w:type="dxa" w:w="150"/>
              <w:right w:type="dxa" w:w="220"/>
            </w:tcMar>
          </w:tcPr>
          <w:p>
            <w:pPr>
              <w:spacing w:after="0" w:line="280"/>
            </w:pPr>
            <w:r>
              <w:rPr>
                <w:rFonts w:ascii="Arial" w:cs="Arial" w:eastAsia="Arial" w:hAnsi="Arial"/>
                <w:i w:val="false"/>
                <w:iCs w:val="false"/>
                <w:color w:val="0C2438"/>
                <w:sz w:val="21"/>
                <w:szCs w:val="21"/>
              </w:rPr>
              <w:t xml:space="preserve">Management views capital transactions as the beginning of the relationship rather than the conclusion.</w:t>
            </w:r>
          </w:p>
        </w:tc>
      </w:tr>
    </w:tbl>
    <w:p>
      <w:pPr>
        <w:keepNext/>
        <w:spacing w:after="70" w:before="200"/>
      </w:pPr>
      <w:r>
        <w:rPr>
          <w:rFonts w:ascii="Arial" w:cs="Arial" w:eastAsia="Arial" w:hAnsi="Arial"/>
          <w:b/>
          <w:bCs/>
          <w:color w:val="C9A23F"/>
          <w:sz w:val="22"/>
          <w:szCs w:val="22"/>
        </w:rPr>
        <w:t xml:space="preserve">▍ </w:t>
      </w:r>
      <w:r>
        <w:rPr>
          <w:rFonts w:ascii="Arial" w:cs="Arial" w:eastAsia="Arial" w:hAnsi="Arial"/>
          <w:b/>
          <w:bCs/>
          <w:color w:val="0C2438"/>
          <w:sz w:val="22"/>
          <w:szCs w:val="22"/>
        </w:rPr>
        <w:t xml:space="preserve">Capital Engine Participants</w:t>
      </w:r>
    </w:p>
    <w:p>
      <w:pPr>
        <w:spacing w:after="140" w:before="0" w:line="276"/>
      </w:pPr>
      <w:r>
        <w:rPr>
          <w:rFonts w:ascii="Arial" w:cs="Arial" w:eastAsia="Arial" w:hAnsi="Arial"/>
          <w:color w:val="1E2733"/>
          <w:sz w:val="21"/>
          <w:szCs w:val="21"/>
        </w:rPr>
        <w:t xml:space="preserve">Several participants contribute to the generation and execution of Capital Engine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left"/>
            </w:pPr>
            <w:r>
              <w:rPr>
                <w:rFonts w:ascii="Arial" w:cs="Arial" w:eastAsia="Arial" w:hAnsi="Arial"/>
                <w:b/>
                <w:bCs/>
                <w:color w:val="FFFFFF"/>
                <w:spacing w:val="6"/>
                <w:sz w:val="19"/>
                <w:szCs w:val="19"/>
              </w:rPr>
              <w:t xml:space="preserve">Participant</w:t>
            </w:r>
          </w:p>
        </w:tc>
        <w:tc>
          <w:tcPr>
            <w:tcW w:type="dxa" w:w="666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left"/>
            </w:pPr>
            <w:r>
              <w:rPr>
                <w:rFonts w:ascii="Arial" w:cs="Arial" w:eastAsia="Arial" w:hAnsi="Arial"/>
                <w:b/>
                <w:bCs/>
                <w:color w:val="FFFFFF"/>
                <w:spacing w:val="6"/>
                <w:sz w:val="19"/>
                <w:szCs w:val="19"/>
              </w:rPr>
              <w:t xml:space="preserve">Responsibilities</w:t>
            </w:r>
          </w:p>
        </w:tc>
      </w:tr>
      <w:tr>
        <w:tc>
          <w:tcPr>
            <w:tcW w:type="dxa" w:w="27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Opening Agents</w:t>
            </w:r>
          </w:p>
        </w:tc>
        <w:tc>
          <w:tcPr>
            <w:tcW w:type="dxa" w:w="666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Merchant acquisition, relationship development, opportunity identification, and initial product positioning</w:t>
            </w:r>
          </w:p>
        </w:tc>
      </w:tr>
      <w:tr>
        <w:tc>
          <w:tcPr>
            <w:tcW w:type="dxa" w:w="27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Specialized Closing Agents</w:t>
            </w:r>
          </w:p>
        </w:tc>
        <w:tc>
          <w:tcPr>
            <w:tcW w:type="dxa" w:w="666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Structuring, underwriting coordination, lender placement, and funding execution</w:t>
            </w:r>
          </w:p>
        </w:tc>
      </w:tr>
      <w:tr>
        <w:tc>
          <w:tcPr>
            <w:tcW w:type="dxa" w:w="27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PMF Premium Merchant Funding</w:t>
            </w:r>
          </w:p>
        </w:tc>
        <w:tc>
          <w:tcPr>
            <w:tcW w:type="dxa" w:w="666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Funding infrastructure, capital relationships, processing support, and operational expertise</w:t>
            </w:r>
          </w:p>
        </w:tc>
      </w:tr>
      <w:tr>
        <w:tc>
          <w:tcPr>
            <w:tcW w:type="dxa" w:w="27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LeaderShield Platform</w:t>
            </w:r>
          </w:p>
        </w:tc>
        <w:tc>
          <w:tcPr>
            <w:tcW w:type="dxa" w:w="666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Distribution infrastructure, compensation architecture, organizational development, and strategic oversight</w:t>
            </w:r>
          </w:p>
        </w:tc>
      </w:tr>
    </w:tbl>
    <w:p>
      <w:pPr>
        <w:spacing w:after="40"/>
      </w:pPr>
      <w:r>
        <w:rPr>
          <w:rFonts w:ascii="Arial" w:cs="Arial" w:eastAsia="Arial" w:hAnsi="Arial"/>
        </w:rPr>
        <w:t xml:space="preserve"/>
      </w:r>
    </w:p>
    <w:p>
      <w:pPr>
        <w:spacing w:after="140" w:before="0" w:line="276"/>
      </w:pPr>
      <w:r>
        <w:rPr>
          <w:rFonts w:ascii="Arial" w:cs="Arial" w:eastAsia="Arial" w:hAnsi="Arial"/>
          <w:color w:val="1E2733"/>
          <w:sz w:val="21"/>
          <w:szCs w:val="21"/>
        </w:rPr>
        <w:t xml:space="preserve">Together, these participants create a coordinated ecosystem designed to maximize merchant outcomes and transaction quality.</w:t>
      </w:r>
    </w:p>
    <w:p>
      <w:pPr>
        <w:keepNext/>
        <w:pBdr>
          <w:bottom w:val="single" w:color="C9A23F" w:sz="10" w:space="6"/>
        </w:pBdr>
        <w:spacing w:after="120" w:before="300"/>
      </w:pPr>
      <w:r>
        <w:rPr>
          <w:rFonts w:ascii="Arial" w:cs="Arial" w:eastAsia="Arial" w:hAnsi="Arial"/>
          <w:b/>
          <w:bCs/>
          <w:color w:val="16395C"/>
          <w:spacing w:val="14"/>
          <w:sz w:val="24"/>
          <w:szCs w:val="24"/>
        </w:rPr>
        <w:t xml:space="preserve">MERCHANT GROWTH PLATFORM REVENUE</w:t>
      </w:r>
    </w:p>
    <w:p>
      <w:pPr>
        <w:spacing w:after="140" w:before="0" w:line="276"/>
      </w:pPr>
      <w:r>
        <w:rPr>
          <w:rFonts w:ascii="Arial" w:cs="Arial" w:eastAsia="Arial" w:hAnsi="Arial"/>
          <w:color w:val="1E2733"/>
          <w:sz w:val="21"/>
          <w:szCs w:val="21"/>
        </w:rPr>
        <w:t xml:space="preserve">The Merchant Growth Platform represents the recurring revenue component of the enterprise. Unlike the Capital Engine, which produces transactional income, the Merchant Growth Platform generates recurring monthly revenue based upon active merchant subscriptions.</w:t>
      </w:r>
    </w:p>
    <w:p>
      <w:pPr>
        <w:spacing w:after="140" w:before="0" w:line="276"/>
      </w:pPr>
      <w:r>
        <w:rPr>
          <w:rFonts w:ascii="Arial" w:cs="Arial" w:eastAsia="Arial" w:hAnsi="Arial"/>
          <w:color w:val="1E2733"/>
          <w:sz w:val="21"/>
          <w:szCs w:val="21"/>
        </w:rPr>
        <w:t xml:space="preserve">Management believes recurring revenue represents one of the most valuable characteristics within the enterprise because it contributes to contribution EBITDA, financial stability, operating leverage, and enterprise valuation.</w:t>
      </w:r>
    </w:p>
    <w:tbl>
      <w:tblPr>
        <w:tblW w:type="dxa" w:w="9360"/>
        <w:tblBorders>
          <w:top w:val="single" w:color="EAF0F6" w:sz="2"/>
          <w:left w:val="single" w:color="2E6E9E" w:sz="30"/>
          <w:bottom w:val="single" w:color="EAF0F6" w:sz="2"/>
          <w:right w:val="single" w:color="EAF0F6" w:sz="2"/>
          <w:insideH w:val="single" w:color="auto" w:sz="4"/>
          <w:insideV w:val="single" w:color="auto" w:sz="4"/>
        </w:tblBorders>
      </w:tblPr>
      <w:tblGrid>
        <w:gridCol w:w="9360"/>
      </w:tblGrid>
      <w:tr>
        <w:tc>
          <w:tcPr>
            <w:tcW w:type="dxa" w:w="9360"/>
            <w:shd w:fill="EAF0F6" w:val="clear"/>
            <w:tcMar>
              <w:top w:type="dxa" w:w="150"/>
              <w:left w:type="dxa" w:w="240"/>
              <w:bottom w:type="dxa" w:w="150"/>
              <w:right w:type="dxa" w:w="220"/>
            </w:tcMar>
          </w:tcPr>
          <w:p>
            <w:pPr>
              <w:spacing w:after="60"/>
            </w:pPr>
            <w:r>
              <w:rPr>
                <w:rFonts w:ascii="Arial" w:cs="Arial" w:eastAsia="Arial" w:hAnsi="Arial"/>
                <w:b/>
                <w:bCs/>
                <w:color w:val="2E6E9E"/>
                <w:spacing w:val="18"/>
                <w:sz w:val="17"/>
                <w:szCs w:val="17"/>
              </w:rPr>
              <w:t xml:space="preserve">REVENUE QUALITY</w:t>
            </w:r>
          </w:p>
          <w:p>
            <w:pPr>
              <w:spacing w:after="0" w:line="280"/>
            </w:pPr>
            <w:r>
              <w:rPr>
                <w:rFonts w:ascii="Arial" w:cs="Arial" w:eastAsia="Arial" w:hAnsi="Arial"/>
                <w:i w:val="false"/>
                <w:iCs w:val="false"/>
                <w:color w:val="0C2438"/>
                <w:sz w:val="21"/>
                <w:szCs w:val="21"/>
              </w:rPr>
              <w:t xml:space="preserve">Subscription revenue is recognized based upon collected revenue. Compensation and residuals are therefore aligned with actual cash collection rather than contracted amounts. This philosophy strengthens the quality of revenue and protects long-term economics.</w:t>
            </w:r>
          </w:p>
        </w:tc>
      </w:tr>
    </w:tbl>
    <w:p>
      <w:pPr>
        <w:keepNext/>
        <w:spacing w:after="70" w:before="200"/>
      </w:pPr>
      <w:r>
        <w:rPr>
          <w:rFonts w:ascii="Arial" w:cs="Arial" w:eastAsia="Arial" w:hAnsi="Arial"/>
          <w:b/>
          <w:bCs/>
          <w:color w:val="C9A23F"/>
          <w:sz w:val="22"/>
          <w:szCs w:val="22"/>
        </w:rPr>
        <w:t xml:space="preserve">▍ </w:t>
      </w:r>
      <w:r>
        <w:rPr>
          <w:rFonts w:ascii="Arial" w:cs="Arial" w:eastAsia="Arial" w:hAnsi="Arial"/>
          <w:b/>
          <w:bCs/>
          <w:color w:val="0C2438"/>
          <w:sz w:val="22"/>
          <w:szCs w:val="22"/>
        </w:rPr>
        <w:t xml:space="preserve">Product Categories</w:t>
      </w:r>
    </w:p>
    <w:p>
      <w:pPr>
        <w:spacing w:after="140" w:before="0" w:line="276"/>
      </w:pPr>
      <w:r>
        <w:rPr>
          <w:rFonts w:ascii="Arial" w:cs="Arial" w:eastAsia="Arial" w:hAnsi="Arial"/>
          <w:color w:val="1E2733"/>
          <w:sz w:val="21"/>
          <w:szCs w:val="21"/>
        </w:rPr>
        <w:t xml:space="preserve">The Merchant Growth Platform currently consists of four products spanning entry-level acquisition through premium, AI-driven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left"/>
            </w:pPr>
            <w:r>
              <w:rPr>
                <w:rFonts w:ascii="Arial" w:cs="Arial" w:eastAsia="Arial" w:hAnsi="Arial"/>
                <w:b/>
                <w:bCs/>
                <w:color w:val="FFFFFF"/>
                <w:spacing w:val="6"/>
                <w:sz w:val="19"/>
                <w:szCs w:val="19"/>
              </w:rPr>
              <w:t xml:space="preserve">Product</w:t>
            </w:r>
          </w:p>
        </w:tc>
        <w:tc>
          <w:tcPr>
            <w:tcW w:type="dxa" w:w="676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left"/>
            </w:pPr>
            <w:r>
              <w:rPr>
                <w:rFonts w:ascii="Arial" w:cs="Arial" w:eastAsia="Arial" w:hAnsi="Arial"/>
                <w:b/>
                <w:bCs/>
                <w:color w:val="FFFFFF"/>
                <w:spacing w:val="6"/>
                <w:sz w:val="19"/>
                <w:szCs w:val="19"/>
              </w:rPr>
              <w:t xml:space="preserve">Strategic Role</w:t>
            </w:r>
          </w:p>
        </w:tc>
      </w:tr>
      <w:tr>
        <w:tc>
          <w:tcPr>
            <w:tcW w:type="dxa" w:w="26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Starter</w:t>
            </w:r>
          </w:p>
        </w:tc>
        <w:tc>
          <w:tcPr>
            <w:tcW w:type="dxa" w:w="676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Entry-level lead-generation solution; an acquisition vehicle, merchant entry point, and upgrade path</w:t>
            </w:r>
          </w:p>
        </w:tc>
      </w:tr>
      <w:tr>
        <w:tc>
          <w:tcPr>
            <w:tcW w:type="dxa" w:w="26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Growth Foundation</w:t>
            </w:r>
          </w:p>
        </w:tc>
        <w:tc>
          <w:tcPr>
            <w:tcW w:type="dxa" w:w="676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Visibility and organizational infrastructure; a bridge between entry-level solutions and advanced growth systems</w:t>
            </w:r>
          </w:p>
        </w:tc>
      </w:tr>
      <w:tr>
        <w:tc>
          <w:tcPr>
            <w:tcW w:type="dxa" w:w="26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Revenue Growth System</w:t>
            </w:r>
          </w:p>
        </w:tc>
        <w:tc>
          <w:tcPr>
            <w:tcW w:type="dxa" w:w="676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The flagship product; expected to represent the majority of active subscriptions and recurring contribution EBITDA</w:t>
            </w:r>
          </w:p>
        </w:tc>
      </w:tr>
      <w:tr>
        <w:tc>
          <w:tcPr>
            <w:tcW w:type="dxa" w:w="26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Revenue Scale AI</w:t>
            </w:r>
          </w:p>
        </w:tc>
        <w:tc>
          <w:tcPr>
            <w:tcW w:type="dxa" w:w="676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The highest-value solution; a smaller share of subscriptions producing disproportionate contribution EBITDA</w:t>
            </w:r>
          </w:p>
        </w:tc>
      </w:tr>
    </w:tbl>
    <w:p>
      <w:pPr>
        <w:spacing w:after="40"/>
      </w:pPr>
      <w:r>
        <w:rPr>
          <w:rFonts w:ascii="Arial" w:cs="Arial" w:eastAsia="Arial" w:hAnsi="Arial"/>
        </w:rPr>
        <w:t xml:space="preserve"/>
      </w:r>
    </w:p>
    <w:p>
      <w:pPr>
        <w:spacing w:after="140" w:before="0" w:line="276"/>
      </w:pPr>
      <w:r>
        <w:rPr>
          <w:rFonts w:ascii="Arial" w:cs="Arial" w:eastAsia="Arial" w:hAnsi="Arial"/>
          <w:color w:val="1E2733"/>
          <w:sz w:val="21"/>
          <w:szCs w:val="21"/>
        </w:rPr>
        <w:t xml:space="preserve">The Merchant Growth Platform is supported by strategic infrastructure providers Marketing Titan and Lead Titan, who provide technology infrastructure, product fulfillment, software development, ongoing enhancements, and AI capabilities. By leveraging strategic partners, LeaderShield avoids the substantial risks and capital requirements associated with internal software development.</w:t>
      </w:r>
    </w:p>
    <w:p>
      <w:pPr>
        <w:keepNext/>
        <w:pBdr>
          <w:bottom w:val="single" w:color="C9A23F" w:sz="10" w:space="6"/>
        </w:pBdr>
        <w:spacing w:after="120" w:before="300"/>
      </w:pPr>
      <w:r>
        <w:rPr>
          <w:rFonts w:ascii="Arial" w:cs="Arial" w:eastAsia="Arial" w:hAnsi="Arial"/>
          <w:b/>
          <w:bCs/>
          <w:color w:val="16395C"/>
          <w:spacing w:val="14"/>
          <w:sz w:val="24"/>
          <w:szCs w:val="24"/>
        </w:rPr>
        <w:t xml:space="preserve">DISTRIBUTION ENGINE REVENUE</w:t>
      </w:r>
    </w:p>
    <w:p>
      <w:pPr>
        <w:spacing w:after="140" w:before="0" w:line="276"/>
      </w:pPr>
      <w:r>
        <w:rPr>
          <w:rFonts w:ascii="Arial" w:cs="Arial" w:eastAsia="Arial" w:hAnsi="Arial"/>
          <w:color w:val="1E2733"/>
          <w:sz w:val="21"/>
          <w:szCs w:val="21"/>
        </w:rPr>
        <w:t xml:space="preserve">The Distribution Engine represents the third economic engine within the ecosystem. Although distribution itself does not generate revenue directly, it creates the leverage that allows both the Capital Engine and Merchant Growth Platform to scale, generating economic value through merchant acquisition, organizational expansion, agency development, leadership growth, and increased penetration.</w:t>
      </w:r>
    </w:p>
    <w:p>
      <w:pPr>
        <w:keepNext/>
        <w:pBdr>
          <w:bottom w:val="single" w:color="C9A23F" w:sz="10" w:space="6"/>
        </w:pBdr>
        <w:spacing w:after="120" w:before="300"/>
      </w:pPr>
      <w:r>
        <w:rPr>
          <w:rFonts w:ascii="Arial" w:cs="Arial" w:eastAsia="Arial" w:hAnsi="Arial"/>
          <w:b/>
          <w:bCs/>
          <w:color w:val="16395C"/>
          <w:spacing w:val="14"/>
          <w:sz w:val="24"/>
          <w:szCs w:val="24"/>
        </w:rPr>
        <w:t xml:space="preserve">PLATFORM REVENUE</w:t>
      </w:r>
    </w:p>
    <w:p>
      <w:pPr>
        <w:spacing w:after="140" w:before="0" w:line="276"/>
      </w:pPr>
      <w:r>
        <w:rPr>
          <w:rFonts w:ascii="Arial" w:cs="Arial" w:eastAsia="Arial" w:hAnsi="Arial"/>
          <w:color w:val="1E2733"/>
          <w:sz w:val="21"/>
          <w:szCs w:val="21"/>
        </w:rPr>
        <w:t xml:space="preserve">LeaderShield also generates revenue through platform participation, including agent membership fees, agency membership fees, and internal product adoption. Agency pricing scales according to organizational size and may be subject to production-based waivers. Although internal product usage is not expected to represent a major source of contribution EBITDA, management believes internal adoption creates product familiarity, better testimonials, improved recruiting, and increased retention.</w:t>
      </w:r>
    </w:p>
    <w:p>
      <w:r>
        <w:br w:type="page"/>
      </w:r>
    </w:p>
    <w:p>
      <w:pPr>
        <w:spacing w:after="380"/>
      </w:pPr>
      <w:r>
        <w:rPr>
          <w:rFonts w:ascii="Arial" w:cs="Arial" w:eastAsia="Arial" w:hAnsi="Arial"/>
        </w:rPr>
        <w:t xml:space="preserve"/>
      </w:r>
    </w:p>
    <w:p>
      <w:pPr>
        <w:spacing w:after="0"/>
        <w:jc w:val="left"/>
      </w:pPr>
      <w:r>
        <w:rPr>
          <w:rFonts w:ascii="Arial" w:cs="Arial" w:eastAsia="Arial" w:hAnsi="Arial"/>
          <w:b/>
          <w:bCs/>
          <w:color w:val="9A7A28"/>
          <w:spacing w:val="60"/>
          <w:sz w:val="20"/>
          <w:szCs w:val="20"/>
        </w:rPr>
        <w:t xml:space="preserve">SECTION</w:t>
      </w:r>
    </w:p>
    <w:p>
      <w:pPr>
        <w:spacing w:after="60"/>
        <w:jc w:val="left"/>
      </w:pPr>
      <w:r>
        <w:rPr>
          <w:rFonts w:ascii="Georgia" w:cs="Georgia" w:eastAsia="Georgia" w:hAnsi="Georgia"/>
          <w:b/>
          <w:bCs/>
          <w:color w:val="16395C"/>
          <w:sz w:val="150"/>
          <w:szCs w:val="150"/>
        </w:rPr>
        <w:t xml:space="preserve">04</w:t>
      </w:r>
    </w:p>
    <w:p>
      <w:pPr>
        <w:pBdr>
          <w:bottom w:val="single" w:color="C9A23F" w:sz="20" w:space="10"/>
        </w:pBdr>
        <w:spacing w:after="160"/>
      </w:pPr>
      <w:r>
        <w:rPr>
          <w:rFonts w:ascii="Georgia" w:cs="Georgia" w:eastAsia="Georgia" w:hAnsi="Georgia"/>
          <w:b/>
          <w:bCs/>
          <w:color w:val="0C2438"/>
          <w:sz w:val="40"/>
          <w:szCs w:val="40"/>
        </w:rPr>
        <w:t xml:space="preserve">Merchant Growth Platform Products</w:t>
      </w:r>
    </w:p>
    <w:p>
      <w:pPr>
        <w:spacing w:after="260"/>
      </w:pPr>
      <w:r>
        <w:rPr>
          <w:rFonts w:ascii="Arial" w:cs="Arial" w:eastAsia="Arial" w:hAnsi="Arial"/>
          <w:i/>
          <w:iCs/>
          <w:color w:val="2E6E9E"/>
          <w:sz w:val="24"/>
          <w:szCs w:val="24"/>
        </w:rPr>
        <w:t xml:space="preserve">A deliberate product ladder — from accessible entry point to premium, AI-driven scale.</w:t>
      </w:r>
    </w:p>
    <w:p>
      <w:pPr>
        <w:spacing w:after="80" w:before="120"/>
      </w:pPr>
      <w:r>
        <w:rPr>
          <w:rFonts w:ascii="Arial" w:cs="Arial" w:eastAsia="Arial" w:hAnsi="Arial"/>
          <w:b/>
          <w:bCs/>
          <w:color w:val="5C6675"/>
          <w:spacing w:val="24"/>
          <w:sz w:val="16"/>
          <w:szCs w:val="16"/>
        </w:rPr>
        <w:t xml:space="preserve">IN THIS SECTION</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Starter</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Growth Foundation</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Revenue Growth System</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Revenue Scale AI</w:t>
      </w:r>
    </w:p>
    <w:p>
      <w:r>
        <w:br w:type="page"/>
      </w:r>
    </w:p>
    <w:p>
      <w:pPr>
        <w:keepNext/>
        <w:spacing w:after="40" w:before="160"/>
      </w:pPr>
      <w:r>
        <w:rPr>
          <w:rFonts w:ascii="Arial" w:cs="Arial" w:eastAsia="Arial" w:hAnsi="Arial"/>
          <w:b/>
          <w:bCs/>
          <w:color w:val="9A7A28"/>
          <w:spacing w:val="26"/>
          <w:sz w:val="17"/>
          <w:szCs w:val="17"/>
        </w:rPr>
        <w:t xml:space="preserve">PRODUCT I</w:t>
      </w:r>
    </w:p>
    <w:p>
      <w:pPr>
        <w:spacing w:after="60"/>
      </w:pPr>
      <w:r>
        <w:rPr>
          <w:rFonts w:ascii="Georgia" w:cs="Georgia" w:eastAsia="Georgia" w:hAnsi="Georgia"/>
          <w:b/>
          <w:bCs/>
          <w:color w:val="0C2438"/>
          <w:sz w:val="34"/>
          <w:szCs w:val="34"/>
        </w:rPr>
        <w:t xml:space="preserve">Starter</w:t>
      </w:r>
    </w:p>
    <w:p>
      <w:pPr>
        <w:keepNext/>
        <w:spacing w:after="70" w:before="200"/>
      </w:pPr>
      <w:r>
        <w:rPr>
          <w:rFonts w:ascii="Arial" w:cs="Arial" w:eastAsia="Arial" w:hAnsi="Arial"/>
          <w:b/>
          <w:bCs/>
          <w:color w:val="C9A23F"/>
          <w:sz w:val="22"/>
          <w:szCs w:val="22"/>
        </w:rPr>
        <w:t xml:space="preserve">▍ </w:t>
      </w:r>
      <w:r>
        <w:rPr>
          <w:rFonts w:ascii="Arial" w:cs="Arial" w:eastAsia="Arial" w:hAnsi="Arial"/>
          <w:b/>
          <w:bCs/>
          <w:color w:val="0C2438"/>
          <w:sz w:val="22"/>
          <w:szCs w:val="22"/>
        </w:rPr>
        <w:t xml:space="preserve">Strategic Purpose</w:t>
      </w:r>
    </w:p>
    <w:p>
      <w:pPr>
        <w:spacing w:after="140" w:before="0" w:line="276"/>
      </w:pPr>
      <w:r>
        <w:rPr>
          <w:rFonts w:ascii="Arial" w:cs="Arial" w:eastAsia="Arial" w:hAnsi="Arial"/>
          <w:color w:val="1E2733"/>
          <w:sz w:val="21"/>
          <w:szCs w:val="21"/>
        </w:rPr>
        <w:t xml:space="preserve">Starter has been intentionally positioned as the entry point into the Merchant Growth Platform. Management does not view Starter as a major profitability driver; instead it serves several important strategic functions: lowering barriers to entry, increasing merchant adoption, creating relationships, establishing upgrade opportunities, and expanding platform participation.</w:t>
      </w:r>
    </w:p>
    <w:p>
      <w:pPr>
        <w:keepNext/>
        <w:spacing w:after="70" w:before="200"/>
      </w:pPr>
      <w:r>
        <w:rPr>
          <w:rFonts w:ascii="Arial" w:cs="Arial" w:eastAsia="Arial" w:hAnsi="Arial"/>
          <w:b/>
          <w:bCs/>
          <w:color w:val="C9A23F"/>
          <w:sz w:val="22"/>
          <w:szCs w:val="22"/>
        </w:rPr>
        <w:t xml:space="preserve">▍ </w:t>
      </w:r>
      <w:r>
        <w:rPr>
          <w:rFonts w:ascii="Arial" w:cs="Arial" w:eastAsia="Arial" w:hAnsi="Arial"/>
          <w:b/>
          <w:bCs/>
          <w:color w:val="0C2438"/>
          <w:sz w:val="22"/>
          <w:szCs w:val="22"/>
        </w:rPr>
        <w:t xml:space="preserve">Margin Philosophy</w:t>
      </w:r>
    </w:p>
    <w:p>
      <w:pPr>
        <w:spacing w:after="140" w:before="0" w:line="276"/>
      </w:pPr>
      <w:r>
        <w:rPr>
          <w:rFonts w:ascii="Arial" w:cs="Arial" w:eastAsia="Arial" w:hAnsi="Arial"/>
          <w:color w:val="1E2733"/>
          <w:sz w:val="21"/>
          <w:szCs w:val="21"/>
        </w:rPr>
        <w:t xml:space="preserve">Because Starter is positioned primarily as an acquisition product, management does not seek to maximize margins. The emphasis is placed on accessibility, participation, upgrade potential, and merchant relationship development. Contribution EBITDA expectations are intentionally modest; the long-term value created through upgrades exceeds the short-term profitability of the product itself.</w:t>
      </w:r>
    </w:p>
    <w:p>
      <w:pPr>
        <w:keepNext/>
        <w:spacing w:after="70" w:before="200"/>
      </w:pPr>
      <w:r>
        <w:rPr>
          <w:rFonts w:ascii="Arial" w:cs="Arial" w:eastAsia="Arial" w:hAnsi="Arial"/>
          <w:b/>
          <w:bCs/>
          <w:color w:val="C9A23F"/>
          <w:sz w:val="22"/>
          <w:szCs w:val="22"/>
        </w:rPr>
        <w:t xml:space="preserve">▍ </w:t>
      </w:r>
      <w:r>
        <w:rPr>
          <w:rFonts w:ascii="Arial" w:cs="Arial" w:eastAsia="Arial" w:hAnsi="Arial"/>
          <w:b/>
          <w:bCs/>
          <w:color w:val="0C2438"/>
          <w:sz w:val="22"/>
          <w:szCs w:val="22"/>
        </w:rPr>
        <w:t xml:space="preserve">Compensation Philosophy</w:t>
      </w:r>
    </w:p>
    <w:p>
      <w:pPr>
        <w:spacing w:after="140" w:before="0" w:line="276"/>
      </w:pPr>
      <w:r>
        <w:rPr>
          <w:rFonts w:ascii="Arial" w:cs="Arial" w:eastAsia="Arial" w:hAnsi="Arial"/>
          <w:color w:val="1E2733"/>
          <w:sz w:val="21"/>
          <w:szCs w:val="21"/>
        </w:rPr>
        <w:t xml:space="preserve">Starter compensation is intentionally conservative. The product is not intended to become a primary producer focus. Residual structures are limited, buyout opportunities are restricted, and compensation emphasis is reduced. Starter should be viewed primarily as a relationship and upgrade vehicle.</w:t>
      </w:r>
    </w:p>
    <w:p>
      <w:pPr>
        <w:keepNext/>
        <w:spacing w:after="70" w:before="200"/>
      </w:pPr>
      <w:r>
        <w:rPr>
          <w:rFonts w:ascii="Arial" w:cs="Arial" w:eastAsia="Arial" w:hAnsi="Arial"/>
          <w:b/>
          <w:bCs/>
          <w:color w:val="C9A23F"/>
          <w:sz w:val="22"/>
          <w:szCs w:val="22"/>
        </w:rPr>
        <w:t xml:space="preserve">▍ </w:t>
      </w:r>
      <w:r>
        <w:rPr>
          <w:rFonts w:ascii="Arial" w:cs="Arial" w:eastAsia="Arial" w:hAnsi="Arial"/>
          <w:b/>
          <w:bCs/>
          <w:color w:val="0C2438"/>
          <w:sz w:val="22"/>
          <w:szCs w:val="22"/>
        </w:rPr>
        <w:t xml:space="preserve">Upgrade Path</w:t>
      </w:r>
    </w:p>
    <w:p>
      <w:pPr>
        <w:spacing w:after="140" w:before="0" w:line="276"/>
      </w:pPr>
      <w:r>
        <w:rPr>
          <w:rFonts w:ascii="Arial" w:cs="Arial" w:eastAsia="Arial" w:hAnsi="Arial"/>
          <w:color w:val="1E2733"/>
          <w:sz w:val="21"/>
          <w:szCs w:val="21"/>
        </w:rPr>
        <w:t xml:space="preserve">Starter is expected to serve as the initial stage of the merchant lifecycle. As merchants experience growth and increased sophistication, natural progression opportunities emerge toward Growth Foundation, Revenue Growth System, and Revenue Scale AI. The product therefore functions as the front door to the Merchant Growth Platform.</w:t>
      </w:r>
    </w:p>
    <w:p>
      <w:pPr>
        <w:spacing w:after="60" w:before="260"/>
      </w:pPr>
      <w:r>
        <w:rPr>
          <w:rFonts w:ascii="Georgia" w:cs="Georgia" w:eastAsia="Georgia" w:hAnsi="Georgia"/>
          <w:b/>
          <w:bCs/>
          <w:color w:val="0C2438"/>
          <w:sz w:val="34"/>
          <w:szCs w:val="34"/>
        </w:rPr>
        <w:t xml:space="preserve">Growth Foundation</w:t>
      </w:r>
    </w:p>
    <w:p>
      <w:pPr>
        <w:keepNext/>
        <w:spacing w:after="70" w:before="200"/>
      </w:pPr>
      <w:r>
        <w:rPr>
          <w:rFonts w:ascii="Arial" w:cs="Arial" w:eastAsia="Arial" w:hAnsi="Arial"/>
          <w:b/>
          <w:bCs/>
          <w:color w:val="C9A23F"/>
          <w:sz w:val="22"/>
          <w:szCs w:val="22"/>
        </w:rPr>
        <w:t xml:space="preserve">▍ </w:t>
      </w:r>
      <w:r>
        <w:rPr>
          <w:rFonts w:ascii="Arial" w:cs="Arial" w:eastAsia="Arial" w:hAnsi="Arial"/>
          <w:b/>
          <w:bCs/>
          <w:color w:val="0C2438"/>
          <w:sz w:val="22"/>
          <w:szCs w:val="22"/>
        </w:rPr>
        <w:t xml:space="preserve">Strategic Purpose</w:t>
      </w:r>
    </w:p>
    <w:p>
      <w:pPr>
        <w:spacing w:after="140" w:before="0" w:line="276"/>
      </w:pPr>
      <w:r>
        <w:rPr>
          <w:rFonts w:ascii="Arial" w:cs="Arial" w:eastAsia="Arial" w:hAnsi="Arial"/>
          <w:color w:val="1E2733"/>
          <w:sz w:val="21"/>
          <w:szCs w:val="21"/>
        </w:rPr>
        <w:t xml:space="preserve">Growth Foundation provides businesses with the organizational infrastructure necessary to improve customer engagement and create operational stability. This tier serves as the bridge between entry-level participation and more advanced growth systems, delivering increased visibility, improved communication, better organization, and enhanced customer engagement.</w:t>
      </w:r>
    </w:p>
    <w:p>
      <w:pPr>
        <w:keepNext/>
        <w:spacing w:after="70" w:before="200"/>
      </w:pPr>
      <w:r>
        <w:rPr>
          <w:rFonts w:ascii="Arial" w:cs="Arial" w:eastAsia="Arial" w:hAnsi="Arial"/>
          <w:b/>
          <w:bCs/>
          <w:color w:val="C9A23F"/>
          <w:sz w:val="22"/>
          <w:szCs w:val="22"/>
        </w:rPr>
        <w:t xml:space="preserve">▍ </w:t>
      </w:r>
      <w:r>
        <w:rPr>
          <w:rFonts w:ascii="Arial" w:cs="Arial" w:eastAsia="Arial" w:hAnsi="Arial"/>
          <w:b/>
          <w:bCs/>
          <w:color w:val="0C2438"/>
          <w:sz w:val="22"/>
          <w:szCs w:val="22"/>
        </w:rPr>
        <w:t xml:space="preserve">Margin Philosophy</w:t>
      </w:r>
    </w:p>
    <w:p>
      <w:pPr>
        <w:spacing w:after="140" w:before="0" w:line="276"/>
      </w:pPr>
      <w:r>
        <w:rPr>
          <w:rFonts w:ascii="Arial" w:cs="Arial" w:eastAsia="Arial" w:hAnsi="Arial"/>
          <w:color w:val="1E2733"/>
          <w:sz w:val="21"/>
          <w:szCs w:val="21"/>
        </w:rPr>
        <w:t xml:space="preserve">Growth Foundation possesses more attractive economics than Starter while maintaining accessibility for a broad range of merchants. Management seeks to balance merchant value, competitive positioning, contribution EBITDA, and long-term retention. The product is expected to produce meaningful recurring contribution while creating strong upgrade opportunities.</w:t>
      </w:r>
    </w:p>
    <w:p>
      <w:pPr>
        <w:keepNext/>
        <w:spacing w:after="70" w:before="200"/>
      </w:pPr>
      <w:r>
        <w:rPr>
          <w:rFonts w:ascii="Arial" w:cs="Arial" w:eastAsia="Arial" w:hAnsi="Arial"/>
          <w:b/>
          <w:bCs/>
          <w:color w:val="C9A23F"/>
          <w:sz w:val="22"/>
          <w:szCs w:val="22"/>
        </w:rPr>
        <w:t xml:space="preserve">▍ </w:t>
      </w:r>
      <w:r>
        <w:rPr>
          <w:rFonts w:ascii="Arial" w:cs="Arial" w:eastAsia="Arial" w:hAnsi="Arial"/>
          <w:b/>
          <w:bCs/>
          <w:color w:val="0C2438"/>
          <w:sz w:val="22"/>
          <w:szCs w:val="22"/>
        </w:rPr>
        <w:t xml:space="preserve">Compensation Philosophy</w:t>
      </w:r>
    </w:p>
    <w:p>
      <w:pPr>
        <w:spacing w:after="140" w:before="0" w:line="276"/>
      </w:pPr>
      <w:r>
        <w:rPr>
          <w:rFonts w:ascii="Arial" w:cs="Arial" w:eastAsia="Arial" w:hAnsi="Arial"/>
          <w:color w:val="1E2733"/>
          <w:sz w:val="21"/>
          <w:szCs w:val="21"/>
        </w:rPr>
        <w:t xml:space="preserve">Growth Foundation supports recurring compensation structures and represents an important contributor to producer residual income. Compensation is designed to encourage long-term merchant relationships, retention, and sustainable growth. Residual opportunities become increasingly important within this product tier.</w:t>
      </w:r>
    </w:p>
    <w:p>
      <w:pPr>
        <w:spacing w:after="60" w:before="260"/>
      </w:pPr>
      <w:r>
        <w:rPr>
          <w:rFonts w:ascii="Georgia" w:cs="Georgia" w:eastAsia="Georgia" w:hAnsi="Georgia"/>
          <w:b/>
          <w:bCs/>
          <w:color w:val="0C2438"/>
          <w:sz w:val="34"/>
          <w:szCs w:val="34"/>
        </w:rPr>
        <w:t xml:space="preserve">Revenue Growth System </w:t>
      </w:r>
      <w:r>
        <w:rPr>
          <w:rFonts w:ascii="Arial" w:cs="Arial" w:eastAsia="Arial" w:hAnsi="Arial"/>
          <w:b/>
          <w:bCs/>
          <w:color w:val="C9A23F"/>
          <w:sz w:val="26"/>
          <w:szCs w:val="26"/>
        </w:rPr>
        <w:t xml:space="preserve">★</w:t>
      </w:r>
    </w:p>
    <w:tbl>
      <w:tblPr>
        <w:tblW w:type="dxa" w:w="9360"/>
        <w:tblBorders>
          <w:top w:val="single" w:color="F7F0DC" w:sz="2"/>
          <w:left w:val="single" w:color="C9A23F" w:sz="30"/>
          <w:bottom w:val="single" w:color="F7F0DC" w:sz="2"/>
          <w:right w:val="single" w:color="F7F0DC" w:sz="2"/>
          <w:insideH w:val="single" w:color="auto" w:sz="4"/>
          <w:insideV w:val="single" w:color="auto" w:sz="4"/>
        </w:tblBorders>
      </w:tblPr>
      <w:tblGrid>
        <w:gridCol w:w="9360"/>
      </w:tblGrid>
      <w:tr>
        <w:tc>
          <w:tcPr>
            <w:tcW w:type="dxa" w:w="9360"/>
            <w:shd w:fill="F7F0DC" w:val="clear"/>
            <w:tcMar>
              <w:top w:type="dxa" w:w="150"/>
              <w:left w:type="dxa" w:w="240"/>
              <w:bottom w:type="dxa" w:w="150"/>
              <w:right w:type="dxa" w:w="220"/>
            </w:tcMar>
          </w:tcPr>
          <w:p>
            <w:pPr>
              <w:spacing w:after="60"/>
            </w:pPr>
            <w:r>
              <w:rPr>
                <w:rFonts w:ascii="Arial" w:cs="Arial" w:eastAsia="Arial" w:hAnsi="Arial"/>
                <w:b/>
                <w:bCs/>
                <w:color w:val="9A7A28"/>
                <w:spacing w:val="18"/>
                <w:sz w:val="17"/>
                <w:szCs w:val="17"/>
              </w:rPr>
              <w:t xml:space="preserve">FLAGSHIP PRODUCT</w:t>
            </w:r>
          </w:p>
          <w:p>
            <w:pPr>
              <w:spacing w:after="0" w:line="280"/>
            </w:pPr>
            <w:r>
              <w:rPr>
                <w:rFonts w:ascii="Arial" w:cs="Arial" w:eastAsia="Arial" w:hAnsi="Arial"/>
                <w:i w:val="false"/>
                <w:iCs w:val="false"/>
                <w:color w:val="0C2438"/>
                <w:sz w:val="21"/>
                <w:szCs w:val="21"/>
              </w:rPr>
              <w:t xml:space="preserve">Management expects Revenue Growth System to become the largest contributor to recurring contribution EBITDA and one of the most important assets within the enterprise.</w:t>
            </w:r>
          </w:p>
        </w:tc>
      </w:tr>
    </w:tbl>
    <w:p>
      <w:pPr>
        <w:keepNext/>
        <w:spacing w:after="70" w:before="200"/>
      </w:pPr>
      <w:r>
        <w:rPr>
          <w:rFonts w:ascii="Arial" w:cs="Arial" w:eastAsia="Arial" w:hAnsi="Arial"/>
          <w:b/>
          <w:bCs/>
          <w:color w:val="C9A23F"/>
          <w:sz w:val="22"/>
          <w:szCs w:val="22"/>
        </w:rPr>
        <w:t xml:space="preserve">▍ </w:t>
      </w:r>
      <w:r>
        <w:rPr>
          <w:rFonts w:ascii="Arial" w:cs="Arial" w:eastAsia="Arial" w:hAnsi="Arial"/>
          <w:b/>
          <w:bCs/>
          <w:color w:val="0C2438"/>
          <w:sz w:val="22"/>
          <w:szCs w:val="22"/>
        </w:rPr>
        <w:t xml:space="preserve">Strategic Purpose</w:t>
      </w:r>
    </w:p>
    <w:p>
      <w:pPr>
        <w:spacing w:after="140" w:before="0" w:line="276"/>
      </w:pPr>
      <w:r>
        <w:rPr>
          <w:rFonts w:ascii="Arial" w:cs="Arial" w:eastAsia="Arial" w:hAnsi="Arial"/>
          <w:color w:val="1E2733"/>
          <w:sz w:val="21"/>
          <w:szCs w:val="21"/>
        </w:rPr>
        <w:t xml:space="preserve">Revenue Growth System has been designed to address many of the underlying problems that cause merchants to seek financing, including inconsistent lead flow, customer acquisition challenges, follow-up inefficiencies, and revenue instability. The objective is to create measurable merchant outcomes while strengthening long-term relationships.</w:t>
      </w:r>
    </w:p>
    <w:p>
      <w:pPr>
        <w:keepNext/>
        <w:spacing w:after="70" w:before="200"/>
      </w:pPr>
      <w:r>
        <w:rPr>
          <w:rFonts w:ascii="Arial" w:cs="Arial" w:eastAsia="Arial" w:hAnsi="Arial"/>
          <w:b/>
          <w:bCs/>
          <w:color w:val="C9A23F"/>
          <w:sz w:val="22"/>
          <w:szCs w:val="22"/>
        </w:rPr>
        <w:t xml:space="preserve">▍ </w:t>
      </w:r>
      <w:r>
        <w:rPr>
          <w:rFonts w:ascii="Arial" w:cs="Arial" w:eastAsia="Arial" w:hAnsi="Arial"/>
          <w:b/>
          <w:bCs/>
          <w:color w:val="0C2438"/>
          <w:sz w:val="22"/>
          <w:szCs w:val="22"/>
        </w:rPr>
        <w:t xml:space="preserve">Margin Philosophy</w:t>
      </w:r>
    </w:p>
    <w:p>
      <w:pPr>
        <w:spacing w:after="140" w:before="0" w:line="276"/>
      </w:pPr>
      <w:r>
        <w:rPr>
          <w:rFonts w:ascii="Arial" w:cs="Arial" w:eastAsia="Arial" w:hAnsi="Arial"/>
          <w:color w:val="1E2733"/>
          <w:sz w:val="21"/>
          <w:szCs w:val="21"/>
        </w:rPr>
        <w:t xml:space="preserve">Revenue Growth System represents the optimal balance between merchant value, retention, upgrade potential, and contribution EBITDA. Management expects this product to produce highly attractive economics while remaining competitively positioned, becoming the primary economic engine of the Merchant Growth Platform.</w:t>
      </w:r>
    </w:p>
    <w:p>
      <w:pPr>
        <w:keepNext/>
        <w:spacing w:after="70" w:before="200"/>
      </w:pPr>
      <w:r>
        <w:rPr>
          <w:rFonts w:ascii="Arial" w:cs="Arial" w:eastAsia="Arial" w:hAnsi="Arial"/>
          <w:b/>
          <w:bCs/>
          <w:color w:val="C9A23F"/>
          <w:sz w:val="22"/>
          <w:szCs w:val="22"/>
        </w:rPr>
        <w:t xml:space="preserve">▍ </w:t>
      </w:r>
      <w:r>
        <w:rPr>
          <w:rFonts w:ascii="Arial" w:cs="Arial" w:eastAsia="Arial" w:hAnsi="Arial"/>
          <w:b/>
          <w:bCs/>
          <w:color w:val="0C2438"/>
          <w:sz w:val="22"/>
          <w:szCs w:val="22"/>
        </w:rPr>
        <w:t xml:space="preserve">Strategic Emphasis</w:t>
      </w:r>
    </w:p>
    <w:p>
      <w:pPr>
        <w:spacing w:after="140" w:before="0" w:line="276"/>
      </w:pPr>
      <w:r>
        <w:rPr>
          <w:rFonts w:ascii="Arial" w:cs="Arial" w:eastAsia="Arial" w:hAnsi="Arial"/>
          <w:color w:val="1E2733"/>
          <w:sz w:val="21"/>
          <w:szCs w:val="21"/>
        </w:rPr>
        <w:t xml:space="preserve">Revenue Growth System receives strong compensation emphasis within the architecture because it creates alignment between merchant outcomes, producer economics, platform economics, and enterprise value. Residual opportunities, performance incentives, and long-term economics support strong penetration of this product tier.</w:t>
      </w:r>
    </w:p>
    <w:p>
      <w:pPr>
        <w:spacing w:after="60" w:before="260"/>
      </w:pPr>
      <w:r>
        <w:rPr>
          <w:rFonts w:ascii="Georgia" w:cs="Georgia" w:eastAsia="Georgia" w:hAnsi="Georgia"/>
          <w:b/>
          <w:bCs/>
          <w:color w:val="0C2438"/>
          <w:sz w:val="34"/>
          <w:szCs w:val="34"/>
        </w:rPr>
        <w:t xml:space="preserve">Revenue Scale AI</w:t>
      </w:r>
    </w:p>
    <w:p>
      <w:pPr>
        <w:keepNext/>
        <w:spacing w:after="70" w:before="200"/>
      </w:pPr>
      <w:r>
        <w:rPr>
          <w:rFonts w:ascii="Arial" w:cs="Arial" w:eastAsia="Arial" w:hAnsi="Arial"/>
          <w:b/>
          <w:bCs/>
          <w:color w:val="C9A23F"/>
          <w:sz w:val="22"/>
          <w:szCs w:val="22"/>
        </w:rPr>
        <w:t xml:space="preserve">▍ </w:t>
      </w:r>
      <w:r>
        <w:rPr>
          <w:rFonts w:ascii="Arial" w:cs="Arial" w:eastAsia="Arial" w:hAnsi="Arial"/>
          <w:b/>
          <w:bCs/>
          <w:color w:val="0C2438"/>
          <w:sz w:val="22"/>
          <w:szCs w:val="22"/>
        </w:rPr>
        <w:t xml:space="preserve">Strategic Purpose</w:t>
      </w:r>
    </w:p>
    <w:p>
      <w:pPr>
        <w:spacing w:after="140" w:before="0" w:line="276"/>
      </w:pPr>
      <w:r>
        <w:rPr>
          <w:rFonts w:ascii="Arial" w:cs="Arial" w:eastAsia="Arial" w:hAnsi="Arial"/>
          <w:color w:val="1E2733"/>
          <w:sz w:val="21"/>
          <w:szCs w:val="21"/>
        </w:rPr>
        <w:t xml:space="preserve">Revenue Scale AI represents the highest-value solution available within the Merchant Growth Platform, targeting merchants seeking greater leverage, increased automation, AI-driven optimization, and advanced growth infrastructure. Management expects Revenue Scale AI to represent a smaller percentage of total subscriptions while generating disproportionate contribution EBITDA.</w:t>
      </w:r>
    </w:p>
    <w:p>
      <w:pPr>
        <w:keepNext/>
        <w:spacing w:after="70" w:before="200"/>
      </w:pPr>
      <w:r>
        <w:rPr>
          <w:rFonts w:ascii="Arial" w:cs="Arial" w:eastAsia="Arial" w:hAnsi="Arial"/>
          <w:b/>
          <w:bCs/>
          <w:color w:val="C9A23F"/>
          <w:sz w:val="22"/>
          <w:szCs w:val="22"/>
        </w:rPr>
        <w:t xml:space="preserve">▍ </w:t>
      </w:r>
      <w:r>
        <w:rPr>
          <w:rFonts w:ascii="Arial" w:cs="Arial" w:eastAsia="Arial" w:hAnsi="Arial"/>
          <w:b/>
          <w:bCs/>
          <w:color w:val="0C2438"/>
          <w:sz w:val="22"/>
          <w:szCs w:val="22"/>
        </w:rPr>
        <w:t xml:space="preserve">Margin Philosophy</w:t>
      </w:r>
    </w:p>
    <w:p>
      <w:pPr>
        <w:spacing w:after="140" w:before="0" w:line="276"/>
      </w:pPr>
      <w:r>
        <w:rPr>
          <w:rFonts w:ascii="Arial" w:cs="Arial" w:eastAsia="Arial" w:hAnsi="Arial"/>
          <w:color w:val="1E2733"/>
          <w:sz w:val="21"/>
          <w:szCs w:val="21"/>
        </w:rPr>
        <w:t xml:space="preserve">Revenue Scale AI possesses some of the most attractive economics within the ecosystem, combining high merchant value, strong retention, premium positioning, and attractive contribution margins. These characteristics make it an important driver of long-term enterprise value.</w:t>
      </w:r>
    </w:p>
    <w:p>
      <w:pPr>
        <w:keepNext/>
        <w:spacing w:after="70" w:before="200"/>
      </w:pPr>
      <w:r>
        <w:rPr>
          <w:rFonts w:ascii="Arial" w:cs="Arial" w:eastAsia="Arial" w:hAnsi="Arial"/>
          <w:b/>
          <w:bCs/>
          <w:color w:val="C9A23F"/>
          <w:sz w:val="22"/>
          <w:szCs w:val="22"/>
        </w:rPr>
        <w:t xml:space="preserve">▍ </w:t>
      </w:r>
      <w:r>
        <w:rPr>
          <w:rFonts w:ascii="Arial" w:cs="Arial" w:eastAsia="Arial" w:hAnsi="Arial"/>
          <w:b/>
          <w:bCs/>
          <w:color w:val="0C2438"/>
          <w:sz w:val="22"/>
          <w:szCs w:val="22"/>
        </w:rPr>
        <w:t xml:space="preserve">Long-Term Product Strategy</w:t>
      </w:r>
    </w:p>
    <w:p>
      <w:pPr>
        <w:spacing w:after="140" w:before="0" w:line="276"/>
      </w:pPr>
      <w:r>
        <w:rPr>
          <w:rFonts w:ascii="Arial" w:cs="Arial" w:eastAsia="Arial" w:hAnsi="Arial"/>
          <w:color w:val="1E2733"/>
          <w:sz w:val="21"/>
          <w:szCs w:val="21"/>
        </w:rPr>
        <w:t xml:space="preserve">Revenue Scale AI represents the culmination of the merchant growth journey. Merchants utilizing this solution are expected to possess higher sophistication, stronger retention, and greater lifetime value — among the most valuable assets within the LeaderShield ecosystem.</w:t>
      </w:r>
    </w:p>
    <w:p>
      <w:r>
        <w:br w:type="page"/>
      </w:r>
    </w:p>
    <w:p>
      <w:pPr>
        <w:spacing w:after="380"/>
      </w:pPr>
      <w:r>
        <w:rPr>
          <w:rFonts w:ascii="Arial" w:cs="Arial" w:eastAsia="Arial" w:hAnsi="Arial"/>
        </w:rPr>
        <w:t xml:space="preserve"/>
      </w:r>
    </w:p>
    <w:p>
      <w:pPr>
        <w:spacing w:after="0"/>
        <w:jc w:val="left"/>
      </w:pPr>
      <w:r>
        <w:rPr>
          <w:rFonts w:ascii="Arial" w:cs="Arial" w:eastAsia="Arial" w:hAnsi="Arial"/>
          <w:b/>
          <w:bCs/>
          <w:color w:val="9A7A28"/>
          <w:spacing w:val="60"/>
          <w:sz w:val="20"/>
          <w:szCs w:val="20"/>
        </w:rPr>
        <w:t xml:space="preserve">SECTION</w:t>
      </w:r>
    </w:p>
    <w:p>
      <w:pPr>
        <w:spacing w:after="60"/>
        <w:jc w:val="left"/>
      </w:pPr>
      <w:r>
        <w:rPr>
          <w:rFonts w:ascii="Georgia" w:cs="Georgia" w:eastAsia="Georgia" w:hAnsi="Georgia"/>
          <w:b/>
          <w:bCs/>
          <w:color w:val="16395C"/>
          <w:sz w:val="150"/>
          <w:szCs w:val="150"/>
        </w:rPr>
        <w:t xml:space="preserve">05</w:t>
      </w:r>
    </w:p>
    <w:p>
      <w:pPr>
        <w:pBdr>
          <w:bottom w:val="single" w:color="C9A23F" w:sz="20" w:space="10"/>
        </w:pBdr>
        <w:spacing w:after="160"/>
      </w:pPr>
      <w:r>
        <w:rPr>
          <w:rFonts w:ascii="Georgia" w:cs="Georgia" w:eastAsia="Georgia" w:hAnsi="Georgia"/>
          <w:b/>
          <w:bCs/>
          <w:color w:val="0C2438"/>
          <w:sz w:val="40"/>
          <w:szCs w:val="40"/>
        </w:rPr>
        <w:t xml:space="preserve">Subscription Compensation Architecture</w:t>
      </w:r>
    </w:p>
    <w:p>
      <w:pPr>
        <w:spacing w:after="260"/>
      </w:pPr>
      <w:r>
        <w:rPr>
          <w:rFonts w:ascii="Arial" w:cs="Arial" w:eastAsia="Arial" w:hAnsi="Arial"/>
          <w:i/>
          <w:iCs/>
          <w:color w:val="2E6E9E"/>
          <w:sz w:val="24"/>
          <w:szCs w:val="24"/>
        </w:rPr>
        <w:t xml:space="preserve">Built to reward acquisition, encourage retention, and protect recurring contribution EBITDA.</w:t>
      </w:r>
    </w:p>
    <w:p>
      <w:pPr>
        <w:spacing w:after="80" w:before="120"/>
      </w:pPr>
      <w:r>
        <w:rPr>
          <w:rFonts w:ascii="Arial" w:cs="Arial" w:eastAsia="Arial" w:hAnsi="Arial"/>
          <w:b/>
          <w:bCs/>
          <w:color w:val="5C6675"/>
          <w:spacing w:val="24"/>
          <w:sz w:val="16"/>
          <w:szCs w:val="16"/>
        </w:rPr>
        <w:t xml:space="preserve">IN THIS SECTION</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Compensation basis &amp; commissionable pools</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Producer and agency flexibility</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Decay schedules by product</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Residual rights, internal pricing &amp; buyouts</w:t>
      </w:r>
    </w:p>
    <w:p>
      <w:r>
        <w:br w:type="page"/>
      </w:r>
    </w:p>
    <w:p>
      <w:pPr>
        <w:spacing w:after="200" w:line="300"/>
      </w:pPr>
      <w:r>
        <w:rPr>
          <w:rFonts w:ascii="Arial" w:cs="Arial" w:eastAsia="Arial" w:hAnsi="Arial"/>
          <w:color w:val="16395C"/>
          <w:sz w:val="23"/>
          <w:szCs w:val="23"/>
        </w:rPr>
        <w:t xml:space="preserve">LeaderShield's subscription compensation architecture has been intentionally designed to balance four primary objectives: attractive producer economics, long-term merchant retention, protection of contribution EBITDA, and enterprise value creation.</w:t>
      </w:r>
    </w:p>
    <w:p>
      <w:pPr>
        <w:spacing w:after="140" w:before="0" w:line="276"/>
      </w:pPr>
      <w:r>
        <w:rPr>
          <w:rFonts w:ascii="Arial" w:cs="Arial" w:eastAsia="Arial" w:hAnsi="Arial"/>
          <w:color w:val="1E2733"/>
          <w:sz w:val="21"/>
          <w:szCs w:val="21"/>
        </w:rPr>
        <w:t xml:space="preserve">Management recognizes that recurring-revenue businesses possess fundamentally different characteristics than transactional businesses. Subscription businesses experience merchant churn, product upgrades, changing customer needs, and natural attrition curves. Accordingly, compensation structures align with the economics of recurring revenue rather than treating subscriptions as one-time transactions.</w:t>
      </w:r>
    </w:p>
    <w:p>
      <w:pPr>
        <w:keepNext/>
        <w:pBdr>
          <w:bottom w:val="single" w:color="C9A23F" w:sz="10" w:space="6"/>
        </w:pBdr>
        <w:spacing w:after="120" w:before="300"/>
      </w:pPr>
      <w:r>
        <w:rPr>
          <w:rFonts w:ascii="Arial" w:cs="Arial" w:eastAsia="Arial" w:hAnsi="Arial"/>
          <w:b/>
          <w:bCs/>
          <w:color w:val="16395C"/>
          <w:spacing w:val="14"/>
          <w:sz w:val="24"/>
          <w:szCs w:val="24"/>
        </w:rPr>
        <w:t xml:space="preserve">COMPENSATION BASIS</w:t>
      </w:r>
    </w:p>
    <w:p>
      <w:pPr>
        <w:spacing w:after="140" w:before="0" w:line="276"/>
      </w:pPr>
      <w:r>
        <w:rPr>
          <w:rFonts w:ascii="Arial" w:cs="Arial" w:eastAsia="Arial" w:hAnsi="Arial"/>
          <w:color w:val="1E2733"/>
          <w:sz w:val="21"/>
          <w:szCs w:val="21"/>
        </w:rPr>
        <w:t xml:space="preserve">All subscription compensation is calculated upon the </w:t>
      </w:r>
      <w:r>
        <w:rPr>
          <w:rFonts w:ascii="Arial" w:cs="Arial" w:eastAsia="Arial" w:hAnsi="Arial"/>
          <w:b/>
          <w:bCs/>
          <w:color w:val="0C2438"/>
          <w:sz w:val="21"/>
          <w:szCs w:val="21"/>
        </w:rPr>
        <w:t xml:space="preserve">Commissionable Revenue Basis (CRB)</w:t>
      </w:r>
      <w:r>
        <w:rPr>
          <w:rFonts w:ascii="Arial" w:cs="Arial" w:eastAsia="Arial" w:hAnsi="Arial"/>
          <w:color w:val="1E2733"/>
          <w:sz w:val="21"/>
          <w:szCs w:val="21"/>
        </w:rPr>
        <w:t xml:space="preserve"> of each product — the retail price less wholesale cost — and is paid on </w:t>
      </w:r>
      <w:r>
        <w:rPr>
          <w:rFonts w:ascii="Arial" w:cs="Arial" w:eastAsia="Arial" w:hAnsi="Arial"/>
          <w:b/>
          <w:bCs/>
          <w:i/>
          <w:iCs/>
          <w:color w:val="0C2438"/>
          <w:sz w:val="21"/>
          <w:szCs w:val="21"/>
        </w:rPr>
        <w:t xml:space="preserve">collected</w:t>
      </w:r>
      <w:r>
        <w:rPr>
          <w:rFonts w:ascii="Arial" w:cs="Arial" w:eastAsia="Arial" w:hAnsi="Arial"/>
          <w:color w:val="1E2733"/>
          <w:sz w:val="21"/>
          <w:szCs w:val="21"/>
        </w:rPr>
        <w:t xml:space="preserve"> revenue rather than contracted or invoiced amounts.</w:t>
      </w:r>
    </w:p>
    <w:p>
      <w:pPr>
        <w:spacing w:after="140" w:before="0" w:line="276"/>
      </w:pPr>
      <w:r>
        <w:rPr>
          <w:rFonts w:ascii="Arial" w:cs="Arial" w:eastAsia="Arial" w:hAnsi="Arial"/>
          <w:color w:val="1E2733"/>
          <w:sz w:val="21"/>
          <w:szCs w:val="21"/>
        </w:rPr>
        <w:t xml:space="preserve">Compensation is not calculated upon contract values, expected revenue, annual contract value, or invoiced amounts. It is paid monthly based upon cash successfully collected by the platform. Management believes this philosophy strengthens revenue quality, cash flow, contribution EBITDA, and enterprise sustainability.</w:t>
      </w:r>
    </w:p>
    <w:p>
      <w:pPr>
        <w:keepNext/>
        <w:spacing w:after="70" w:before="200"/>
      </w:pPr>
      <w:r>
        <w:rPr>
          <w:rFonts w:ascii="Arial" w:cs="Arial" w:eastAsia="Arial" w:hAnsi="Arial"/>
          <w:b/>
          <w:bCs/>
          <w:color w:val="C9A23F"/>
          <w:sz w:val="22"/>
          <w:szCs w:val="22"/>
        </w:rPr>
        <w:t xml:space="preserve">▍ </w:t>
      </w:r>
      <w:r>
        <w:rPr>
          <w:rFonts w:ascii="Arial" w:cs="Arial" w:eastAsia="Arial" w:hAnsi="Arial"/>
          <w:b/>
          <w:bCs/>
          <w:color w:val="0C2438"/>
          <w:sz w:val="22"/>
          <w:szCs w:val="22"/>
        </w:rPr>
        <w:t xml:space="preserve">Product Economics</w:t>
      </w:r>
    </w:p>
    <w:p>
      <w:pPr>
        <w:spacing w:after="140" w:before="0" w:line="276"/>
      </w:pPr>
      <w:r>
        <w:rPr>
          <w:rFonts w:ascii="Arial" w:cs="Arial" w:eastAsia="Arial" w:hAnsi="Arial"/>
          <w:color w:val="1E2733"/>
          <w:sz w:val="21"/>
          <w:szCs w:val="21"/>
        </w:rPr>
        <w:t xml:space="preserve">The following retail prices, wholesale costs, and resulting Commissionable Revenue Basis apply across the Merchant Growth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2100"/>
        <w:gridCol w:w="2360"/>
      </w:tblGrid>
      <w:tr>
        <w:trPr>
          <w:tblHeader/>
        </w:trPr>
        <w:tc>
          <w:tcPr>
            <w:tcW w:type="dxa" w:w="300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left"/>
            </w:pPr>
            <w:r>
              <w:rPr>
                <w:rFonts w:ascii="Arial" w:cs="Arial" w:eastAsia="Arial" w:hAnsi="Arial"/>
                <w:b/>
                <w:bCs/>
                <w:color w:val="FFFFFF"/>
                <w:spacing w:val="6"/>
                <w:sz w:val="19"/>
                <w:szCs w:val="19"/>
              </w:rPr>
              <w:t xml:space="preserve">Product</w:t>
            </w:r>
          </w:p>
        </w:tc>
        <w:tc>
          <w:tcPr>
            <w:tcW w:type="dxa" w:w="190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center"/>
            </w:pPr>
            <w:r>
              <w:rPr>
                <w:rFonts w:ascii="Arial" w:cs="Arial" w:eastAsia="Arial" w:hAnsi="Arial"/>
                <w:b/>
                <w:bCs/>
                <w:color w:val="FFFFFF"/>
                <w:spacing w:val="6"/>
                <w:sz w:val="19"/>
                <w:szCs w:val="19"/>
              </w:rPr>
              <w:t xml:space="preserve">Retail Price</w:t>
            </w:r>
          </w:p>
        </w:tc>
        <w:tc>
          <w:tcPr>
            <w:tcW w:type="dxa" w:w="210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center"/>
            </w:pPr>
            <w:r>
              <w:rPr>
                <w:rFonts w:ascii="Arial" w:cs="Arial" w:eastAsia="Arial" w:hAnsi="Arial"/>
                <w:b/>
                <w:bCs/>
                <w:color w:val="FFFFFF"/>
                <w:spacing w:val="6"/>
                <w:sz w:val="19"/>
                <w:szCs w:val="19"/>
              </w:rPr>
              <w:t xml:space="preserve">Wholesale Cost</w:t>
            </w:r>
          </w:p>
        </w:tc>
        <w:tc>
          <w:tcPr>
            <w:tcW w:type="dxa" w:w="236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center"/>
            </w:pPr>
            <w:r>
              <w:rPr>
                <w:rFonts w:ascii="Arial" w:cs="Arial" w:eastAsia="Arial" w:hAnsi="Arial"/>
                <w:b/>
                <w:bCs/>
                <w:color w:val="FFFFFF"/>
                <w:spacing w:val="6"/>
                <w:sz w:val="19"/>
                <w:szCs w:val="19"/>
              </w:rPr>
              <w:t xml:space="preserve">Commissionable Revenue Basis</w:t>
            </w:r>
          </w:p>
        </w:tc>
      </w:tr>
      <w:tr>
        <w:tc>
          <w:tcPr>
            <w:tcW w:type="dxa" w:w="30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Starter</w:t>
            </w:r>
          </w:p>
        </w:tc>
        <w:tc>
          <w:tcPr>
            <w:tcW w:type="dxa" w:w="19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$149</w:t>
            </w:r>
          </w:p>
        </w:tc>
        <w:tc>
          <w:tcPr>
            <w:tcW w:type="dxa" w:w="21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$59</w:t>
            </w:r>
          </w:p>
        </w:tc>
        <w:tc>
          <w:tcPr>
            <w:tcW w:type="dxa" w:w="236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bCs/>
                <w:color w:val="9A7A28"/>
                <w:sz w:val="20"/>
                <w:szCs w:val="20"/>
              </w:rPr>
              <w:t xml:space="preserve">$90</w:t>
            </w:r>
          </w:p>
        </w:tc>
      </w:tr>
      <w:tr>
        <w:tc>
          <w:tcPr>
            <w:tcW w:type="dxa" w:w="30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Growth Foundation</w:t>
            </w:r>
          </w:p>
        </w:tc>
        <w:tc>
          <w:tcPr>
            <w:tcW w:type="dxa" w:w="19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$497</w:t>
            </w:r>
          </w:p>
        </w:tc>
        <w:tc>
          <w:tcPr>
            <w:tcW w:type="dxa" w:w="21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$175</w:t>
            </w:r>
          </w:p>
        </w:tc>
        <w:tc>
          <w:tcPr>
            <w:tcW w:type="dxa" w:w="236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bCs/>
                <w:color w:val="9A7A28"/>
                <w:sz w:val="20"/>
                <w:szCs w:val="20"/>
              </w:rPr>
              <w:t xml:space="preserve">$322</w:t>
            </w:r>
          </w:p>
        </w:tc>
      </w:tr>
      <w:tr>
        <w:tc>
          <w:tcPr>
            <w:tcW w:type="dxa" w:w="30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Revenue Growth System </w:t>
            </w:r>
            <w:r>
              <w:rPr>
                <w:rFonts w:ascii="Arial" w:cs="Arial" w:eastAsia="Arial" w:hAnsi="Arial"/>
                <w:color w:val="C9A23F"/>
                <w:sz w:val="18"/>
                <w:szCs w:val="18"/>
              </w:rPr>
              <w:t xml:space="preserve">★</w:t>
            </w:r>
          </w:p>
        </w:tc>
        <w:tc>
          <w:tcPr>
            <w:tcW w:type="dxa" w:w="19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$997</w:t>
            </w:r>
          </w:p>
        </w:tc>
        <w:tc>
          <w:tcPr>
            <w:tcW w:type="dxa" w:w="21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$300</w:t>
            </w:r>
          </w:p>
        </w:tc>
        <w:tc>
          <w:tcPr>
            <w:tcW w:type="dxa" w:w="236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bCs/>
                <w:color w:val="9A7A28"/>
                <w:sz w:val="20"/>
                <w:szCs w:val="20"/>
              </w:rPr>
              <w:t xml:space="preserve">$697</w:t>
            </w:r>
          </w:p>
        </w:tc>
      </w:tr>
      <w:tr>
        <w:tc>
          <w:tcPr>
            <w:tcW w:type="dxa" w:w="30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Revenue Scale AI</w:t>
            </w:r>
          </w:p>
        </w:tc>
        <w:tc>
          <w:tcPr>
            <w:tcW w:type="dxa" w:w="19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$1,497</w:t>
            </w:r>
          </w:p>
        </w:tc>
        <w:tc>
          <w:tcPr>
            <w:tcW w:type="dxa" w:w="21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$600</w:t>
            </w:r>
          </w:p>
        </w:tc>
        <w:tc>
          <w:tcPr>
            <w:tcW w:type="dxa" w:w="236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bCs/>
                <w:color w:val="9A7A28"/>
                <w:sz w:val="20"/>
                <w:szCs w:val="20"/>
              </w:rPr>
              <w:t xml:space="preserve">$897</w:t>
            </w:r>
          </w:p>
        </w:tc>
      </w:tr>
    </w:tbl>
    <w:p>
      <w:pPr>
        <w:spacing w:after="50"/>
      </w:pPr>
      <w:r>
        <w:rPr>
          <w:rFonts w:ascii="Arial" w:cs="Arial" w:eastAsia="Arial" w:hAnsi="Arial"/>
        </w:rPr>
        <w:t xml:space="preserve"/>
      </w:r>
    </w:p>
    <w:p>
      <w:pPr>
        <w:keepNext/>
        <w:pBdr>
          <w:bottom w:val="single" w:color="C9A23F" w:sz="10" w:space="6"/>
        </w:pBdr>
        <w:spacing w:after="120" w:before="300"/>
      </w:pPr>
      <w:r>
        <w:rPr>
          <w:rFonts w:ascii="Arial" w:cs="Arial" w:eastAsia="Arial" w:hAnsi="Arial"/>
          <w:b/>
          <w:bCs/>
          <w:color w:val="16395C"/>
          <w:spacing w:val="14"/>
          <w:sz w:val="24"/>
          <w:szCs w:val="24"/>
        </w:rPr>
        <w:t xml:space="preserve">TOTAL COMMISSIONABLE POOLS</w:t>
      </w:r>
    </w:p>
    <w:p>
      <w:pPr>
        <w:spacing w:after="140" w:before="0" w:line="276"/>
      </w:pPr>
      <w:r>
        <w:rPr>
          <w:rFonts w:ascii="Arial" w:cs="Arial" w:eastAsia="Arial" w:hAnsi="Arial"/>
          <w:color w:val="1E2733"/>
          <w:sz w:val="21"/>
          <w:szCs w:val="21"/>
        </w:rPr>
        <w:t xml:space="preserve">LeaderShield utilizes total commissionable pools that include both producer compensation and agency override compensation. Agency overrides are paid from within the total commissionable amount and are not additive. Three payout tiers exist, applied to the Commissionable Revenue Basis: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90"/>
        <w:gridCol w:w="1690"/>
        <w:gridCol w:w="1690"/>
        <w:gridCol w:w="1690"/>
      </w:tblGrid>
      <w:tr>
        <w:trPr>
          <w:tblHeader/>
        </w:trPr>
        <w:tc>
          <w:tcPr>
            <w:tcW w:type="dxa" w:w="260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left"/>
            </w:pPr>
            <w:r>
              <w:rPr>
                <w:rFonts w:ascii="Arial" w:cs="Arial" w:eastAsia="Arial" w:hAnsi="Arial"/>
                <w:b/>
                <w:bCs/>
                <w:color w:val="FFFFFF"/>
                <w:spacing w:val="6"/>
                <w:sz w:val="19"/>
                <w:szCs w:val="19"/>
              </w:rPr>
              <w:t xml:space="preserve">Tier</w:t>
            </w:r>
          </w:p>
        </w:tc>
        <w:tc>
          <w:tcPr>
            <w:tcW w:type="dxa" w:w="169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center"/>
            </w:pPr>
            <w:r>
              <w:rPr>
                <w:rFonts w:ascii="Arial" w:cs="Arial" w:eastAsia="Arial" w:hAnsi="Arial"/>
                <w:b/>
                <w:bCs/>
                <w:color w:val="FFFFFF"/>
                <w:spacing w:val="6"/>
                <w:sz w:val="19"/>
                <w:szCs w:val="19"/>
              </w:rPr>
              <w:t xml:space="preserve">Starter</w:t>
            </w:r>
          </w:p>
        </w:tc>
        <w:tc>
          <w:tcPr>
            <w:tcW w:type="dxa" w:w="169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center"/>
            </w:pPr>
            <w:r>
              <w:rPr>
                <w:rFonts w:ascii="Arial" w:cs="Arial" w:eastAsia="Arial" w:hAnsi="Arial"/>
                <w:b/>
                <w:bCs/>
                <w:color w:val="FFFFFF"/>
                <w:spacing w:val="6"/>
                <w:sz w:val="19"/>
                <w:szCs w:val="19"/>
              </w:rPr>
              <w:t xml:space="preserve">Growth Foundation</w:t>
            </w:r>
          </w:p>
        </w:tc>
        <w:tc>
          <w:tcPr>
            <w:tcW w:type="dxa" w:w="169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center"/>
            </w:pPr>
            <w:r>
              <w:rPr>
                <w:rFonts w:ascii="Arial" w:cs="Arial" w:eastAsia="Arial" w:hAnsi="Arial"/>
                <w:b/>
                <w:bCs/>
                <w:color w:val="FFFFFF"/>
                <w:spacing w:val="6"/>
                <w:sz w:val="19"/>
                <w:szCs w:val="19"/>
              </w:rPr>
              <w:t xml:space="preserve">Revenue Growth System</w:t>
            </w:r>
          </w:p>
        </w:tc>
        <w:tc>
          <w:tcPr>
            <w:tcW w:type="dxa" w:w="169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center"/>
            </w:pPr>
            <w:r>
              <w:rPr>
                <w:rFonts w:ascii="Arial" w:cs="Arial" w:eastAsia="Arial" w:hAnsi="Arial"/>
                <w:b/>
                <w:bCs/>
                <w:color w:val="FFFFFF"/>
                <w:spacing w:val="6"/>
                <w:sz w:val="19"/>
                <w:szCs w:val="19"/>
              </w:rPr>
              <w:t xml:space="preserve">Revenue Scale AI</w:t>
            </w:r>
          </w:p>
        </w:tc>
      </w:tr>
      <w:tr>
        <w:tc>
          <w:tcPr>
            <w:tcW w:type="dxa" w:w="26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Standard</w:t>
            </w:r>
          </w:p>
        </w:tc>
        <w:tc>
          <w:tcPr>
            <w:tcW w:type="dxa" w:w="169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25%</w:t>
            </w:r>
          </w:p>
        </w:tc>
        <w:tc>
          <w:tcPr>
            <w:tcW w:type="dxa" w:w="169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45%</w:t>
            </w:r>
          </w:p>
        </w:tc>
        <w:tc>
          <w:tcPr>
            <w:tcW w:type="dxa" w:w="169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45%</w:t>
            </w:r>
          </w:p>
        </w:tc>
        <w:tc>
          <w:tcPr>
            <w:tcW w:type="dxa" w:w="169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45%</w:t>
            </w:r>
          </w:p>
        </w:tc>
      </w:tr>
      <w:tr>
        <w:tc>
          <w:tcPr>
            <w:tcW w:type="dxa" w:w="26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Enhanced</w:t>
            </w:r>
          </w:p>
        </w:tc>
        <w:tc>
          <w:tcPr>
            <w:tcW w:type="dxa" w:w="169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30%</w:t>
            </w:r>
          </w:p>
        </w:tc>
        <w:tc>
          <w:tcPr>
            <w:tcW w:type="dxa" w:w="169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50%</w:t>
            </w:r>
          </w:p>
        </w:tc>
        <w:tc>
          <w:tcPr>
            <w:tcW w:type="dxa" w:w="169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50%</w:t>
            </w:r>
          </w:p>
        </w:tc>
        <w:tc>
          <w:tcPr>
            <w:tcW w:type="dxa" w:w="169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50%</w:t>
            </w:r>
          </w:p>
        </w:tc>
      </w:tr>
      <w:tr>
        <w:tc>
          <w:tcPr>
            <w:tcW w:type="dxa" w:w="26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Elite</w:t>
            </w:r>
          </w:p>
        </w:tc>
        <w:tc>
          <w:tcPr>
            <w:tcW w:type="dxa" w:w="169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35%</w:t>
            </w:r>
          </w:p>
        </w:tc>
        <w:tc>
          <w:tcPr>
            <w:tcW w:type="dxa" w:w="169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55%</w:t>
            </w:r>
          </w:p>
        </w:tc>
        <w:tc>
          <w:tcPr>
            <w:tcW w:type="dxa" w:w="169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55%</w:t>
            </w:r>
          </w:p>
        </w:tc>
        <w:tc>
          <w:tcPr>
            <w:tcW w:type="dxa" w:w="169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55%</w:t>
            </w:r>
          </w:p>
        </w:tc>
      </w:tr>
    </w:tbl>
    <w:p>
      <w:pPr>
        <w:spacing w:after="40"/>
      </w:pPr>
      <w:r>
        <w:rPr>
          <w:rFonts w:ascii="Arial" w:cs="Arial" w:eastAsia="Arial" w:hAnsi="Arial"/>
        </w:rPr>
        <w:t xml:space="preserve"/>
      </w:r>
    </w:p>
    <w:tbl>
      <w:tblPr>
        <w:tblW w:type="dxa" w:w="9360"/>
        <w:tblBorders>
          <w:top w:val="single" w:color="F7F0DC" w:sz="2"/>
          <w:left w:val="single" w:color="C9A23F" w:sz="30"/>
          <w:bottom w:val="single" w:color="F7F0DC" w:sz="2"/>
          <w:right w:val="single" w:color="F7F0DC" w:sz="2"/>
          <w:insideH w:val="single" w:color="auto" w:sz="4"/>
          <w:insideV w:val="single" w:color="auto" w:sz="4"/>
        </w:tblBorders>
      </w:tblPr>
      <w:tblGrid>
        <w:gridCol w:w="9360"/>
      </w:tblGrid>
      <w:tr>
        <w:tc>
          <w:tcPr>
            <w:tcW w:type="dxa" w:w="9360"/>
            <w:shd w:fill="F7F0DC" w:val="clear"/>
            <w:tcMar>
              <w:top w:type="dxa" w:w="150"/>
              <w:left w:type="dxa" w:w="240"/>
              <w:bottom w:type="dxa" w:w="150"/>
              <w:right w:type="dxa" w:w="220"/>
            </w:tcMar>
          </w:tcPr>
          <w:p>
            <w:pPr>
              <w:spacing w:after="60"/>
            </w:pPr>
            <w:r>
              <w:rPr>
                <w:rFonts w:ascii="Arial" w:cs="Arial" w:eastAsia="Arial" w:hAnsi="Arial"/>
                <w:b/>
                <w:bCs/>
                <w:color w:val="9A7A28"/>
                <w:spacing w:val="18"/>
                <w:sz w:val="17"/>
                <w:szCs w:val="17"/>
              </w:rPr>
              <w:t xml:space="preserve">UNIFIED PREMIUM STRUCTURE</w:t>
            </w:r>
          </w:p>
          <w:p>
            <w:pPr>
              <w:spacing w:after="0" w:line="280"/>
            </w:pPr>
            <w:r>
              <w:rPr>
                <w:rFonts w:ascii="Arial" w:cs="Arial" w:eastAsia="Arial" w:hAnsi="Arial"/>
                <w:i w:val="false"/>
                <w:iCs w:val="false"/>
                <w:color w:val="0C2438"/>
                <w:sz w:val="21"/>
                <w:szCs w:val="21"/>
              </w:rPr>
              <w:t xml:space="preserve">Growth Foundation, Revenue Growth System, and Revenue Scale AI now share a single base commission structure. Performance accelerators are separate from these pools and are addressed in Section 6.</w:t>
            </w:r>
          </w:p>
        </w:tc>
      </w:tr>
    </w:tbl>
    <w:p>
      <w:pPr>
        <w:keepNext/>
        <w:pBdr>
          <w:bottom w:val="single" w:color="C9A23F" w:sz="10" w:space="6"/>
        </w:pBdr>
        <w:spacing w:after="120" w:before="300"/>
      </w:pPr>
      <w:r>
        <w:rPr>
          <w:rFonts w:ascii="Arial" w:cs="Arial" w:eastAsia="Arial" w:hAnsi="Arial"/>
          <w:b/>
          <w:bCs/>
          <w:color w:val="16395C"/>
          <w:spacing w:val="14"/>
          <w:sz w:val="24"/>
          <w:szCs w:val="24"/>
        </w:rPr>
        <w:t xml:space="preserve">PRODUCER &amp; AGENCY FLEXIBILITY</w:t>
      </w:r>
    </w:p>
    <w:p>
      <w:pPr>
        <w:spacing w:after="140" w:before="0" w:line="276"/>
      </w:pPr>
      <w:r>
        <w:rPr>
          <w:rFonts w:ascii="Arial" w:cs="Arial" w:eastAsia="Arial" w:hAnsi="Arial"/>
          <w:color w:val="1E2733"/>
          <w:sz w:val="21"/>
          <w:szCs w:val="21"/>
        </w:rPr>
        <w:t xml:space="preserve">Agency owners possess flexibility in how the total commissionable pool is allocated between the producer and the agency. The combined amount may never exceed the applicable commissionable pool. Representative allocations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980"/>
        <w:gridCol w:w="2980"/>
      </w:tblGrid>
      <w:tr>
        <w:trPr>
          <w:tblHeader/>
        </w:trPr>
        <w:tc>
          <w:tcPr>
            <w:tcW w:type="dxa" w:w="340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left"/>
            </w:pPr>
            <w:r>
              <w:rPr>
                <w:rFonts w:ascii="Arial" w:cs="Arial" w:eastAsia="Arial" w:hAnsi="Arial"/>
                <w:b/>
                <w:bCs/>
                <w:color w:val="FFFFFF"/>
                <w:spacing w:val="6"/>
                <w:sz w:val="19"/>
                <w:szCs w:val="19"/>
              </w:rPr>
              <w:t xml:space="preserve">Structure</w:t>
            </w:r>
          </w:p>
        </w:tc>
        <w:tc>
          <w:tcPr>
            <w:tcW w:type="dxa" w:w="298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center"/>
            </w:pPr>
            <w:r>
              <w:rPr>
                <w:rFonts w:ascii="Arial" w:cs="Arial" w:eastAsia="Arial" w:hAnsi="Arial"/>
                <w:b/>
                <w:bCs/>
                <w:color w:val="FFFFFF"/>
                <w:spacing w:val="6"/>
                <w:sz w:val="19"/>
                <w:szCs w:val="19"/>
              </w:rPr>
              <w:t xml:space="preserve">Producer Share</w:t>
            </w:r>
          </w:p>
        </w:tc>
        <w:tc>
          <w:tcPr>
            <w:tcW w:type="dxa" w:w="298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center"/>
            </w:pPr>
            <w:r>
              <w:rPr>
                <w:rFonts w:ascii="Arial" w:cs="Arial" w:eastAsia="Arial" w:hAnsi="Arial"/>
                <w:b/>
                <w:bCs/>
                <w:color w:val="FFFFFF"/>
                <w:spacing w:val="6"/>
                <w:sz w:val="19"/>
                <w:szCs w:val="19"/>
              </w:rPr>
              <w:t xml:space="preserve">Agency Override</w:t>
            </w:r>
          </w:p>
        </w:tc>
      </w:tr>
      <w:tr>
        <w:tc>
          <w:tcPr>
            <w:tcW w:type="dxa" w:w="34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Independent Producer</w:t>
            </w:r>
          </w:p>
        </w:tc>
        <w:tc>
          <w:tcPr>
            <w:tcW w:type="dxa" w:w="298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100%</w:t>
            </w:r>
          </w:p>
        </w:tc>
        <w:tc>
          <w:tcPr>
            <w:tcW w:type="dxa" w:w="298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0%</w:t>
            </w:r>
          </w:p>
        </w:tc>
      </w:tr>
      <w:tr>
        <w:tc>
          <w:tcPr>
            <w:tcW w:type="dxa" w:w="34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Balanced Organization</w:t>
            </w:r>
          </w:p>
        </w:tc>
        <w:tc>
          <w:tcPr>
            <w:tcW w:type="dxa" w:w="298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90%</w:t>
            </w:r>
          </w:p>
        </w:tc>
        <w:tc>
          <w:tcPr>
            <w:tcW w:type="dxa" w:w="298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10%</w:t>
            </w:r>
          </w:p>
        </w:tc>
      </w:tr>
      <w:tr>
        <w:tc>
          <w:tcPr>
            <w:tcW w:type="dxa" w:w="34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Leadership Organization</w:t>
            </w:r>
          </w:p>
        </w:tc>
        <w:tc>
          <w:tcPr>
            <w:tcW w:type="dxa" w:w="298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85%</w:t>
            </w:r>
          </w:p>
        </w:tc>
        <w:tc>
          <w:tcPr>
            <w:tcW w:type="dxa" w:w="298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15%</w:t>
            </w:r>
          </w:p>
        </w:tc>
      </w:tr>
      <w:tr>
        <w:tc>
          <w:tcPr>
            <w:tcW w:type="dxa" w:w="34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Recruiting Organization</w:t>
            </w:r>
          </w:p>
        </w:tc>
        <w:tc>
          <w:tcPr>
            <w:tcW w:type="dxa" w:w="298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80%</w:t>
            </w:r>
          </w:p>
        </w:tc>
        <w:tc>
          <w:tcPr>
            <w:tcW w:type="dxa" w:w="298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20%</w:t>
            </w:r>
          </w:p>
        </w:tc>
      </w:tr>
    </w:tbl>
    <w:p>
      <w:pPr>
        <w:spacing w:after="40"/>
      </w:pPr>
      <w:r>
        <w:rPr>
          <w:rFonts w:ascii="Arial" w:cs="Arial" w:eastAsia="Arial" w:hAnsi="Arial"/>
        </w:rPr>
        <w:t xml:space="preserve"/>
      </w:r>
    </w:p>
    <w:p>
      <w:pPr>
        <w:spacing w:after="140" w:before="0" w:line="276"/>
      </w:pPr>
      <w:r>
        <w:rPr>
          <w:rFonts w:ascii="Arial" w:cs="Arial" w:eastAsia="Arial" w:hAnsi="Arial"/>
          <w:color w:val="1E2733"/>
          <w:sz w:val="21"/>
          <w:szCs w:val="21"/>
        </w:rPr>
        <w:t xml:space="preserve">This structure creates flexibility while protecting platform economics.</w:t>
      </w:r>
    </w:p>
    <w:p>
      <w:pPr>
        <w:keepNext/>
        <w:pBdr>
          <w:bottom w:val="single" w:color="C9A23F" w:sz="10" w:space="6"/>
        </w:pBdr>
        <w:spacing w:after="120" w:before="300"/>
      </w:pPr>
      <w:r>
        <w:rPr>
          <w:rFonts w:ascii="Arial" w:cs="Arial" w:eastAsia="Arial" w:hAnsi="Arial"/>
          <w:b/>
          <w:bCs/>
          <w:color w:val="16395C"/>
          <w:spacing w:val="14"/>
          <w:sz w:val="24"/>
          <w:szCs w:val="24"/>
        </w:rPr>
        <w:t xml:space="preserve">THREE-MONTH DECAY PHILOSOPHY</w:t>
      </w:r>
    </w:p>
    <w:p>
      <w:pPr>
        <w:spacing w:after="140" w:before="0" w:line="276"/>
      </w:pPr>
      <w:r>
        <w:rPr>
          <w:rFonts w:ascii="Arial" w:cs="Arial" w:eastAsia="Arial" w:hAnsi="Arial"/>
          <w:color w:val="1E2733"/>
          <w:sz w:val="21"/>
          <w:szCs w:val="21"/>
        </w:rPr>
        <w:t xml:space="preserve">Management recognizes that subscription businesses typically experience elevated churn during the first year. Accordingly, compensation schedules align with expected merchant behavior. The purpose of the decay structure is to reward acquisition, encourage retention, protect contribution EBITDA, and reduce adverse selection. Compensation declines every three months during the first year before stabilizing into mature residual economics.</w:t>
      </w:r>
    </w:p>
    <w:p>
      <w:pPr>
        <w:keepNext/>
        <w:pBdr>
          <w:bottom w:val="single" w:color="C9A23F" w:sz="10" w:space="6"/>
        </w:pBdr>
        <w:spacing w:after="120" w:before="300"/>
      </w:pPr>
      <w:r>
        <w:rPr>
          <w:rFonts w:ascii="Arial" w:cs="Arial" w:eastAsia="Arial" w:hAnsi="Arial"/>
          <w:b/>
          <w:bCs/>
          <w:color w:val="16395C"/>
          <w:spacing w:val="14"/>
          <w:sz w:val="24"/>
          <w:szCs w:val="24"/>
        </w:rPr>
        <w:t xml:space="preserve">STARTER — COMMISSION SCHEDULE</w:t>
      </w:r>
    </w:p>
    <w:p>
      <w:pPr>
        <w:spacing w:after="140" w:before="0" w:line="276"/>
      </w:pPr>
      <w:r>
        <w:rPr>
          <w:rFonts w:ascii="Arial" w:cs="Arial" w:eastAsia="Arial" w:hAnsi="Arial"/>
          <w:color w:val="1E2733"/>
          <w:sz w:val="21"/>
          <w:szCs w:val="21"/>
        </w:rPr>
        <w:t xml:space="preserve">Starter serves primarily as an acquisition product, a relationship builder, and an upgrade vehicle. Management intentionally seeks to avoid excessive producer focus on Starter, which carries no mature residual or buyout rights.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left"/>
            </w:pPr>
            <w:r>
              <w:rPr>
                <w:rFonts w:ascii="Arial" w:cs="Arial" w:eastAsia="Arial" w:hAnsi="Arial"/>
                <w:b/>
                <w:bCs/>
                <w:color w:val="FFFFFF"/>
                <w:spacing w:val="6"/>
                <w:sz w:val="19"/>
                <w:szCs w:val="19"/>
              </w:rPr>
              <w:t xml:space="preserve">Period</w:t>
            </w:r>
          </w:p>
        </w:tc>
        <w:tc>
          <w:tcPr>
            <w:tcW w:type="dxa" w:w="212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center"/>
            </w:pPr>
            <w:r>
              <w:rPr>
                <w:rFonts w:ascii="Arial" w:cs="Arial" w:eastAsia="Arial" w:hAnsi="Arial"/>
                <w:b/>
                <w:bCs/>
                <w:color w:val="FFFFFF"/>
                <w:spacing w:val="6"/>
                <w:sz w:val="19"/>
                <w:szCs w:val="19"/>
              </w:rPr>
              <w:t xml:space="preserve">Standard</w:t>
            </w:r>
          </w:p>
        </w:tc>
        <w:tc>
          <w:tcPr>
            <w:tcW w:type="dxa" w:w="212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center"/>
            </w:pPr>
            <w:r>
              <w:rPr>
                <w:rFonts w:ascii="Arial" w:cs="Arial" w:eastAsia="Arial" w:hAnsi="Arial"/>
                <w:b/>
                <w:bCs/>
                <w:color w:val="FFFFFF"/>
                <w:spacing w:val="6"/>
                <w:sz w:val="19"/>
                <w:szCs w:val="19"/>
              </w:rPr>
              <w:t xml:space="preserve">Enhanced</w:t>
            </w:r>
          </w:p>
        </w:tc>
        <w:tc>
          <w:tcPr>
            <w:tcW w:type="dxa" w:w="212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center"/>
            </w:pPr>
            <w:r>
              <w:rPr>
                <w:rFonts w:ascii="Arial" w:cs="Arial" w:eastAsia="Arial" w:hAnsi="Arial"/>
                <w:b/>
                <w:bCs/>
                <w:color w:val="FFFFFF"/>
                <w:spacing w:val="6"/>
                <w:sz w:val="19"/>
                <w:szCs w:val="19"/>
              </w:rPr>
              <w:t xml:space="preserve">Elite</w:t>
            </w:r>
          </w:p>
        </w:tc>
      </w:tr>
      <w:tr>
        <w:tc>
          <w:tcPr>
            <w:tcW w:type="dxa" w:w="30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Months 1–3</w:t>
            </w:r>
          </w:p>
        </w:tc>
        <w:tc>
          <w:tcPr>
            <w:tcW w:type="dxa" w:w="212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25%</w:t>
            </w:r>
          </w:p>
        </w:tc>
        <w:tc>
          <w:tcPr>
            <w:tcW w:type="dxa" w:w="212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30%</w:t>
            </w:r>
          </w:p>
        </w:tc>
        <w:tc>
          <w:tcPr>
            <w:tcW w:type="dxa" w:w="212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35%</w:t>
            </w:r>
          </w:p>
        </w:tc>
      </w:tr>
      <w:tr>
        <w:tc>
          <w:tcPr>
            <w:tcW w:type="dxa" w:w="30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Months 4–6</w:t>
            </w:r>
          </w:p>
        </w:tc>
        <w:tc>
          <w:tcPr>
            <w:tcW w:type="dxa" w:w="212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20%</w:t>
            </w:r>
          </w:p>
        </w:tc>
        <w:tc>
          <w:tcPr>
            <w:tcW w:type="dxa" w:w="212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25%</w:t>
            </w:r>
          </w:p>
        </w:tc>
        <w:tc>
          <w:tcPr>
            <w:tcW w:type="dxa" w:w="212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30%</w:t>
            </w:r>
          </w:p>
        </w:tc>
      </w:tr>
      <w:tr>
        <w:tc>
          <w:tcPr>
            <w:tcW w:type="dxa" w:w="30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Months 7–12</w:t>
            </w:r>
          </w:p>
        </w:tc>
        <w:tc>
          <w:tcPr>
            <w:tcW w:type="dxa" w:w="212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15%</w:t>
            </w:r>
          </w:p>
        </w:tc>
        <w:tc>
          <w:tcPr>
            <w:tcW w:type="dxa" w:w="212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20%</w:t>
            </w:r>
          </w:p>
        </w:tc>
        <w:tc>
          <w:tcPr>
            <w:tcW w:type="dxa" w:w="212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25%</w:t>
            </w:r>
          </w:p>
        </w:tc>
      </w:tr>
      <w:tr>
        <w:tc>
          <w:tcPr>
            <w:tcW w:type="dxa" w:w="30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Month 13+</w:t>
            </w:r>
          </w:p>
        </w:tc>
        <w:tc>
          <w:tcPr>
            <w:tcW w:type="dxa" w:w="212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0%</w:t>
            </w:r>
          </w:p>
        </w:tc>
        <w:tc>
          <w:tcPr>
            <w:tcW w:type="dxa" w:w="212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0%</w:t>
            </w:r>
          </w:p>
        </w:tc>
        <w:tc>
          <w:tcPr>
            <w:tcW w:type="dxa" w:w="212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0%</w:t>
            </w:r>
          </w:p>
        </w:tc>
      </w:tr>
    </w:tbl>
    <w:p>
      <w:pPr>
        <w:spacing w:after="3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left"/>
            </w:pPr>
            <w:r>
              <w:rPr>
                <w:rFonts w:ascii="Arial" w:cs="Arial" w:eastAsia="Arial" w:hAnsi="Arial"/>
                <w:b/>
                <w:bCs/>
                <w:color w:val="FFFFFF"/>
                <w:spacing w:val="6"/>
                <w:sz w:val="19"/>
                <w:szCs w:val="19"/>
              </w:rPr>
              <w:t xml:space="preserve">Residual Rights</w:t>
            </w:r>
          </w:p>
        </w:tc>
        <w:tc>
          <w:tcPr>
            <w:tcW w:type="dxa" w:w="468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left"/>
            </w:pPr>
            <w:r>
              <w:rPr>
                <w:rFonts w:ascii="Arial" w:cs="Arial" w:eastAsia="Arial" w:hAnsi="Arial"/>
                <w:b/>
                <w:bCs/>
                <w:color w:val="FFFFFF"/>
                <w:spacing w:val="6"/>
                <w:sz w:val="19"/>
                <w:szCs w:val="19"/>
              </w:rPr>
              <w:t xml:space="preserve">Buyout Rights</w:t>
            </w:r>
          </w:p>
        </w:tc>
      </w:tr>
      <w:tr>
        <w:tc>
          <w:tcPr>
            <w:tcW w:type="dxa" w:w="468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None</w:t>
            </w:r>
          </w:p>
        </w:tc>
        <w:tc>
          <w:tcPr>
            <w:tcW w:type="dxa" w:w="468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Not available</w:t>
            </w:r>
          </w:p>
        </w:tc>
      </w:tr>
    </w:tbl>
    <w:p>
      <w:pPr>
        <w:keepNext/>
        <w:pBdr>
          <w:bottom w:val="single" w:color="C9A23F" w:sz="10" w:space="6"/>
        </w:pBdr>
        <w:spacing w:after="120" w:before="300"/>
      </w:pPr>
      <w:r>
        <w:rPr>
          <w:rFonts w:ascii="Arial" w:cs="Arial" w:eastAsia="Arial" w:hAnsi="Arial"/>
          <w:b/>
          <w:bCs/>
          <w:color w:val="16395C"/>
          <w:spacing w:val="14"/>
          <w:sz w:val="24"/>
          <w:szCs w:val="24"/>
        </w:rPr>
        <w:t xml:space="preserve">GROWTH FOUNDATION — COMMISSION SCHEDULE</w:t>
      </w:r>
    </w:p>
    <w:p>
      <w:pPr>
        <w:spacing w:after="140" w:before="0" w:line="276"/>
      </w:pPr>
      <w:r>
        <w:rPr>
          <w:rFonts w:ascii="Arial" w:cs="Arial" w:eastAsia="Arial" w:hAnsi="Arial"/>
          <w:color w:val="1E2733"/>
          <w:sz w:val="21"/>
          <w:szCs w:val="21"/>
        </w:rPr>
        <w:t xml:space="preserve">Growth Foundation creates visibility, stability, merchant engagement, and operational infrastructure, and participates in the lifetime residual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left"/>
            </w:pPr>
            <w:r>
              <w:rPr>
                <w:rFonts w:ascii="Arial" w:cs="Arial" w:eastAsia="Arial" w:hAnsi="Arial"/>
                <w:b/>
                <w:bCs/>
                <w:color w:val="FFFFFF"/>
                <w:spacing w:val="6"/>
                <w:sz w:val="19"/>
                <w:szCs w:val="19"/>
              </w:rPr>
              <w:t xml:space="preserve">Period</w:t>
            </w:r>
          </w:p>
        </w:tc>
        <w:tc>
          <w:tcPr>
            <w:tcW w:type="dxa" w:w="212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center"/>
            </w:pPr>
            <w:r>
              <w:rPr>
                <w:rFonts w:ascii="Arial" w:cs="Arial" w:eastAsia="Arial" w:hAnsi="Arial"/>
                <w:b/>
                <w:bCs/>
                <w:color w:val="FFFFFF"/>
                <w:spacing w:val="6"/>
                <w:sz w:val="19"/>
                <w:szCs w:val="19"/>
              </w:rPr>
              <w:t xml:space="preserve">Standard</w:t>
            </w:r>
          </w:p>
        </w:tc>
        <w:tc>
          <w:tcPr>
            <w:tcW w:type="dxa" w:w="212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center"/>
            </w:pPr>
            <w:r>
              <w:rPr>
                <w:rFonts w:ascii="Arial" w:cs="Arial" w:eastAsia="Arial" w:hAnsi="Arial"/>
                <w:b/>
                <w:bCs/>
                <w:color w:val="FFFFFF"/>
                <w:spacing w:val="6"/>
                <w:sz w:val="19"/>
                <w:szCs w:val="19"/>
              </w:rPr>
              <w:t xml:space="preserve">Enhanced</w:t>
            </w:r>
          </w:p>
        </w:tc>
        <w:tc>
          <w:tcPr>
            <w:tcW w:type="dxa" w:w="212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center"/>
            </w:pPr>
            <w:r>
              <w:rPr>
                <w:rFonts w:ascii="Arial" w:cs="Arial" w:eastAsia="Arial" w:hAnsi="Arial"/>
                <w:b/>
                <w:bCs/>
                <w:color w:val="FFFFFF"/>
                <w:spacing w:val="6"/>
                <w:sz w:val="19"/>
                <w:szCs w:val="19"/>
              </w:rPr>
              <w:t xml:space="preserve">Elite</w:t>
            </w:r>
          </w:p>
        </w:tc>
      </w:tr>
      <w:tr>
        <w:tc>
          <w:tcPr>
            <w:tcW w:type="dxa" w:w="30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Months 1–3</w:t>
            </w:r>
          </w:p>
        </w:tc>
        <w:tc>
          <w:tcPr>
            <w:tcW w:type="dxa" w:w="212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45%</w:t>
            </w:r>
          </w:p>
        </w:tc>
        <w:tc>
          <w:tcPr>
            <w:tcW w:type="dxa" w:w="212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50%</w:t>
            </w:r>
          </w:p>
        </w:tc>
        <w:tc>
          <w:tcPr>
            <w:tcW w:type="dxa" w:w="212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55%</w:t>
            </w:r>
          </w:p>
        </w:tc>
      </w:tr>
      <w:tr>
        <w:tc>
          <w:tcPr>
            <w:tcW w:type="dxa" w:w="30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Months 4–6</w:t>
            </w:r>
          </w:p>
        </w:tc>
        <w:tc>
          <w:tcPr>
            <w:tcW w:type="dxa" w:w="212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35%</w:t>
            </w:r>
          </w:p>
        </w:tc>
        <w:tc>
          <w:tcPr>
            <w:tcW w:type="dxa" w:w="212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40%</w:t>
            </w:r>
          </w:p>
        </w:tc>
        <w:tc>
          <w:tcPr>
            <w:tcW w:type="dxa" w:w="212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45%</w:t>
            </w:r>
          </w:p>
        </w:tc>
      </w:tr>
      <w:tr>
        <w:tc>
          <w:tcPr>
            <w:tcW w:type="dxa" w:w="30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Months 7–9</w:t>
            </w:r>
          </w:p>
        </w:tc>
        <w:tc>
          <w:tcPr>
            <w:tcW w:type="dxa" w:w="212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25%</w:t>
            </w:r>
          </w:p>
        </w:tc>
        <w:tc>
          <w:tcPr>
            <w:tcW w:type="dxa" w:w="212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30%</w:t>
            </w:r>
          </w:p>
        </w:tc>
        <w:tc>
          <w:tcPr>
            <w:tcW w:type="dxa" w:w="212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35%</w:t>
            </w:r>
          </w:p>
        </w:tc>
      </w:tr>
      <w:tr>
        <w:tc>
          <w:tcPr>
            <w:tcW w:type="dxa" w:w="30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Months 10–12</w:t>
            </w:r>
          </w:p>
        </w:tc>
        <w:tc>
          <w:tcPr>
            <w:tcW w:type="dxa" w:w="212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15%</w:t>
            </w:r>
          </w:p>
        </w:tc>
        <w:tc>
          <w:tcPr>
            <w:tcW w:type="dxa" w:w="212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20%</w:t>
            </w:r>
          </w:p>
        </w:tc>
        <w:tc>
          <w:tcPr>
            <w:tcW w:type="dxa" w:w="212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25%</w:t>
            </w:r>
          </w:p>
        </w:tc>
      </w:tr>
      <w:tr>
        <w:tc>
          <w:tcPr>
            <w:tcW w:type="dxa" w:w="30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Month 13+ (Residual)</w:t>
            </w:r>
          </w:p>
        </w:tc>
        <w:tc>
          <w:tcPr>
            <w:tcW w:type="dxa" w:w="212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10%</w:t>
            </w:r>
          </w:p>
        </w:tc>
        <w:tc>
          <w:tcPr>
            <w:tcW w:type="dxa" w:w="212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10%</w:t>
            </w:r>
          </w:p>
        </w:tc>
        <w:tc>
          <w:tcPr>
            <w:tcW w:type="dxa" w:w="212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10%</w:t>
            </w:r>
          </w:p>
        </w:tc>
      </w:tr>
    </w:tbl>
    <w:p>
      <w:pPr>
        <w:spacing w:after="3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left"/>
            </w:pPr>
            <w:r>
              <w:rPr>
                <w:rFonts w:ascii="Arial" w:cs="Arial" w:eastAsia="Arial" w:hAnsi="Arial"/>
                <w:b/>
                <w:bCs/>
                <w:color w:val="FFFFFF"/>
                <w:spacing w:val="6"/>
                <w:sz w:val="19"/>
                <w:szCs w:val="19"/>
              </w:rPr>
              <w:t xml:space="preserve">Buyout Eligibility</w:t>
            </w:r>
          </w:p>
        </w:tc>
        <w:tc>
          <w:tcPr>
            <w:tcW w:type="dxa" w:w="468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left"/>
            </w:pPr>
            <w:r>
              <w:rPr>
                <w:rFonts w:ascii="Arial" w:cs="Arial" w:eastAsia="Arial" w:hAnsi="Arial"/>
                <w:b/>
                <w:bCs/>
                <w:color w:val="FFFFFF"/>
                <w:spacing w:val="6"/>
                <w:sz w:val="19"/>
                <w:szCs w:val="19"/>
              </w:rPr>
              <w:t xml:space="preserve">Requirements</w:t>
            </w:r>
          </w:p>
        </w:tc>
      </w:tr>
      <w:tr>
        <w:tc>
          <w:tcPr>
            <w:tcW w:type="dxa" w:w="468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After 12 months</w:t>
            </w:r>
          </w:p>
        </w:tc>
        <w:tc>
          <w:tcPr>
            <w:tcW w:type="dxa" w:w="468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Production · good standing · membership</w:t>
            </w:r>
          </w:p>
        </w:tc>
      </w:tr>
    </w:tbl>
    <w:p>
      <w:pPr>
        <w:keepNext/>
        <w:pBdr>
          <w:bottom w:val="single" w:color="C9A23F" w:sz="10" w:space="6"/>
        </w:pBdr>
        <w:spacing w:after="120" w:before="300"/>
      </w:pPr>
      <w:r>
        <w:rPr>
          <w:rFonts w:ascii="Arial" w:cs="Arial" w:eastAsia="Arial" w:hAnsi="Arial"/>
          <w:b/>
          <w:bCs/>
          <w:color w:val="16395C"/>
          <w:spacing w:val="14"/>
          <w:sz w:val="24"/>
          <w:szCs w:val="24"/>
        </w:rPr>
        <w:t xml:space="preserve">REVENUE GROWTH SYSTEM — COMMISSION SCHEDULE</w:t>
      </w:r>
    </w:p>
    <w:p>
      <w:pPr>
        <w:spacing w:after="140" w:before="0" w:line="276"/>
      </w:pPr>
      <w:r>
        <w:rPr>
          <w:rFonts w:ascii="Arial" w:cs="Arial" w:eastAsia="Arial" w:hAnsi="Arial"/>
          <w:color w:val="1E2733"/>
          <w:sz w:val="21"/>
          <w:szCs w:val="21"/>
        </w:rPr>
        <w:t xml:space="preserve">Revenue Growth System is expected to become the flagship product, the largest contributor to recurring contribution EBITDA, and the primary subscription focus of the organization. It shares the unified premium commission structure with Growth Foundation and Revenue Scale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left"/>
            </w:pPr>
            <w:r>
              <w:rPr>
                <w:rFonts w:ascii="Arial" w:cs="Arial" w:eastAsia="Arial" w:hAnsi="Arial"/>
                <w:b/>
                <w:bCs/>
                <w:color w:val="FFFFFF"/>
                <w:spacing w:val="6"/>
                <w:sz w:val="19"/>
                <w:szCs w:val="19"/>
              </w:rPr>
              <w:t xml:space="preserve">Period</w:t>
            </w:r>
          </w:p>
        </w:tc>
        <w:tc>
          <w:tcPr>
            <w:tcW w:type="dxa" w:w="212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center"/>
            </w:pPr>
            <w:r>
              <w:rPr>
                <w:rFonts w:ascii="Arial" w:cs="Arial" w:eastAsia="Arial" w:hAnsi="Arial"/>
                <w:b/>
                <w:bCs/>
                <w:color w:val="FFFFFF"/>
                <w:spacing w:val="6"/>
                <w:sz w:val="19"/>
                <w:szCs w:val="19"/>
              </w:rPr>
              <w:t xml:space="preserve">Standard</w:t>
            </w:r>
          </w:p>
        </w:tc>
        <w:tc>
          <w:tcPr>
            <w:tcW w:type="dxa" w:w="212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center"/>
            </w:pPr>
            <w:r>
              <w:rPr>
                <w:rFonts w:ascii="Arial" w:cs="Arial" w:eastAsia="Arial" w:hAnsi="Arial"/>
                <w:b/>
                <w:bCs/>
                <w:color w:val="FFFFFF"/>
                <w:spacing w:val="6"/>
                <w:sz w:val="19"/>
                <w:szCs w:val="19"/>
              </w:rPr>
              <w:t xml:space="preserve">Enhanced</w:t>
            </w:r>
          </w:p>
        </w:tc>
        <w:tc>
          <w:tcPr>
            <w:tcW w:type="dxa" w:w="212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center"/>
            </w:pPr>
            <w:r>
              <w:rPr>
                <w:rFonts w:ascii="Arial" w:cs="Arial" w:eastAsia="Arial" w:hAnsi="Arial"/>
                <w:b/>
                <w:bCs/>
                <w:color w:val="FFFFFF"/>
                <w:spacing w:val="6"/>
                <w:sz w:val="19"/>
                <w:szCs w:val="19"/>
              </w:rPr>
              <w:t xml:space="preserve">Elite</w:t>
            </w:r>
          </w:p>
        </w:tc>
      </w:tr>
      <w:tr>
        <w:tc>
          <w:tcPr>
            <w:tcW w:type="dxa" w:w="30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Months 1–3</w:t>
            </w:r>
          </w:p>
        </w:tc>
        <w:tc>
          <w:tcPr>
            <w:tcW w:type="dxa" w:w="212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45%</w:t>
            </w:r>
          </w:p>
        </w:tc>
        <w:tc>
          <w:tcPr>
            <w:tcW w:type="dxa" w:w="212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50%</w:t>
            </w:r>
          </w:p>
        </w:tc>
        <w:tc>
          <w:tcPr>
            <w:tcW w:type="dxa" w:w="212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55%</w:t>
            </w:r>
          </w:p>
        </w:tc>
      </w:tr>
      <w:tr>
        <w:tc>
          <w:tcPr>
            <w:tcW w:type="dxa" w:w="30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Months 4–6</w:t>
            </w:r>
          </w:p>
        </w:tc>
        <w:tc>
          <w:tcPr>
            <w:tcW w:type="dxa" w:w="212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35%</w:t>
            </w:r>
          </w:p>
        </w:tc>
        <w:tc>
          <w:tcPr>
            <w:tcW w:type="dxa" w:w="212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40%</w:t>
            </w:r>
          </w:p>
        </w:tc>
        <w:tc>
          <w:tcPr>
            <w:tcW w:type="dxa" w:w="212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45%</w:t>
            </w:r>
          </w:p>
        </w:tc>
      </w:tr>
      <w:tr>
        <w:tc>
          <w:tcPr>
            <w:tcW w:type="dxa" w:w="30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Months 7–9</w:t>
            </w:r>
          </w:p>
        </w:tc>
        <w:tc>
          <w:tcPr>
            <w:tcW w:type="dxa" w:w="212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25%</w:t>
            </w:r>
          </w:p>
        </w:tc>
        <w:tc>
          <w:tcPr>
            <w:tcW w:type="dxa" w:w="212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30%</w:t>
            </w:r>
          </w:p>
        </w:tc>
        <w:tc>
          <w:tcPr>
            <w:tcW w:type="dxa" w:w="212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35%</w:t>
            </w:r>
          </w:p>
        </w:tc>
      </w:tr>
      <w:tr>
        <w:tc>
          <w:tcPr>
            <w:tcW w:type="dxa" w:w="30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Months 10–12</w:t>
            </w:r>
          </w:p>
        </w:tc>
        <w:tc>
          <w:tcPr>
            <w:tcW w:type="dxa" w:w="212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15%</w:t>
            </w:r>
          </w:p>
        </w:tc>
        <w:tc>
          <w:tcPr>
            <w:tcW w:type="dxa" w:w="212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20%</w:t>
            </w:r>
          </w:p>
        </w:tc>
        <w:tc>
          <w:tcPr>
            <w:tcW w:type="dxa" w:w="212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25%</w:t>
            </w:r>
          </w:p>
        </w:tc>
      </w:tr>
      <w:tr>
        <w:tc>
          <w:tcPr>
            <w:tcW w:type="dxa" w:w="30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Month 13+ (Residual)</w:t>
            </w:r>
          </w:p>
        </w:tc>
        <w:tc>
          <w:tcPr>
            <w:tcW w:type="dxa" w:w="212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15%</w:t>
            </w:r>
          </w:p>
        </w:tc>
        <w:tc>
          <w:tcPr>
            <w:tcW w:type="dxa" w:w="212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15%</w:t>
            </w:r>
          </w:p>
        </w:tc>
        <w:tc>
          <w:tcPr>
            <w:tcW w:type="dxa" w:w="212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15%</w:t>
            </w:r>
          </w:p>
        </w:tc>
      </w:tr>
    </w:tbl>
    <w:p>
      <w:pPr>
        <w:spacing w:after="30"/>
      </w:pPr>
      <w:r>
        <w:rPr>
          <w:rFonts w:ascii="Arial" w:cs="Arial" w:eastAsia="Arial" w:hAnsi="Arial"/>
        </w:rPr>
        <w:t xml:space="preserve"/>
      </w:r>
    </w:p>
    <w:tbl>
      <w:tblPr>
        <w:tblW w:type="dxa" w:w="9360"/>
        <w:tblBorders>
          <w:top w:val="single" w:color="F7F0DC" w:sz="2"/>
          <w:left w:val="single" w:color="C9A23F" w:sz="30"/>
          <w:bottom w:val="single" w:color="F7F0DC" w:sz="2"/>
          <w:right w:val="single" w:color="F7F0DC" w:sz="2"/>
          <w:insideH w:val="single" w:color="auto" w:sz="4"/>
          <w:insideV w:val="single" w:color="auto" w:sz="4"/>
        </w:tblBorders>
      </w:tblPr>
      <w:tblGrid>
        <w:gridCol w:w="9360"/>
      </w:tblGrid>
      <w:tr>
        <w:tc>
          <w:tcPr>
            <w:tcW w:type="dxa" w:w="9360"/>
            <w:shd w:fill="F7F0DC" w:val="clear"/>
            <w:tcMar>
              <w:top w:type="dxa" w:w="150"/>
              <w:left w:type="dxa" w:w="240"/>
              <w:bottom w:type="dxa" w:w="150"/>
              <w:right w:type="dxa" w:w="220"/>
            </w:tcMar>
          </w:tcPr>
          <w:p>
            <w:pPr>
              <w:spacing w:after="60"/>
            </w:pPr>
            <w:r>
              <w:rPr>
                <w:rFonts w:ascii="Arial" w:cs="Arial" w:eastAsia="Arial" w:hAnsi="Arial"/>
                <w:b/>
                <w:bCs/>
                <w:color w:val="9A7A28"/>
                <w:spacing w:val="18"/>
                <w:sz w:val="17"/>
                <w:szCs w:val="17"/>
              </w:rPr>
              <w:t xml:space="preserve">STRATEGIC BIAS</w:t>
            </w:r>
          </w:p>
          <w:p>
            <w:pPr>
              <w:spacing w:after="0" w:line="280"/>
            </w:pPr>
            <w:r>
              <w:rPr>
                <w:rFonts w:ascii="Arial" w:cs="Arial" w:eastAsia="Arial" w:hAnsi="Arial"/>
                <w:i w:val="false"/>
                <w:iCs w:val="false"/>
                <w:color w:val="0C2438"/>
                <w:sz w:val="21"/>
                <w:szCs w:val="21"/>
              </w:rPr>
              <w:t xml:space="preserve">Revenue Growth System carries the platform's strongest combination of compensation emphasis and accelerator eligibility because it creates the tightest alignment between merchant outcomes, producer economics, platform economics, and enterprise value.</w:t>
            </w:r>
          </w:p>
        </w:tc>
      </w:tr>
    </w:tbl>
    <w:p>
      <w:pPr>
        <w:keepNext/>
        <w:pBdr>
          <w:bottom w:val="single" w:color="C9A23F" w:sz="10" w:space="6"/>
        </w:pBdr>
        <w:spacing w:after="120" w:before="300"/>
      </w:pPr>
      <w:r>
        <w:rPr>
          <w:rFonts w:ascii="Arial" w:cs="Arial" w:eastAsia="Arial" w:hAnsi="Arial"/>
          <w:b/>
          <w:bCs/>
          <w:color w:val="16395C"/>
          <w:spacing w:val="14"/>
          <w:sz w:val="24"/>
          <w:szCs w:val="24"/>
        </w:rPr>
        <w:t xml:space="preserve">REVENUE SCALE AI — COMMISSION SCHEDULE</w:t>
      </w:r>
    </w:p>
    <w:p>
      <w:pPr>
        <w:spacing w:after="140" w:before="0" w:line="276"/>
      </w:pPr>
      <w:r>
        <w:rPr>
          <w:rFonts w:ascii="Arial" w:cs="Arial" w:eastAsia="Arial" w:hAnsi="Arial"/>
          <w:color w:val="1E2733"/>
          <w:sz w:val="21"/>
          <w:szCs w:val="21"/>
        </w:rPr>
        <w:t xml:space="preserve">Revenue Scale AI represents premium merchants, premium economics, higher retention, and greater lifetime value, sharing the unified premium commission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left"/>
            </w:pPr>
            <w:r>
              <w:rPr>
                <w:rFonts w:ascii="Arial" w:cs="Arial" w:eastAsia="Arial" w:hAnsi="Arial"/>
                <w:b/>
                <w:bCs/>
                <w:color w:val="FFFFFF"/>
                <w:spacing w:val="6"/>
                <w:sz w:val="19"/>
                <w:szCs w:val="19"/>
              </w:rPr>
              <w:t xml:space="preserve">Period</w:t>
            </w:r>
          </w:p>
        </w:tc>
        <w:tc>
          <w:tcPr>
            <w:tcW w:type="dxa" w:w="212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center"/>
            </w:pPr>
            <w:r>
              <w:rPr>
                <w:rFonts w:ascii="Arial" w:cs="Arial" w:eastAsia="Arial" w:hAnsi="Arial"/>
                <w:b/>
                <w:bCs/>
                <w:color w:val="FFFFFF"/>
                <w:spacing w:val="6"/>
                <w:sz w:val="19"/>
                <w:szCs w:val="19"/>
              </w:rPr>
              <w:t xml:space="preserve">Standard</w:t>
            </w:r>
          </w:p>
        </w:tc>
        <w:tc>
          <w:tcPr>
            <w:tcW w:type="dxa" w:w="212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center"/>
            </w:pPr>
            <w:r>
              <w:rPr>
                <w:rFonts w:ascii="Arial" w:cs="Arial" w:eastAsia="Arial" w:hAnsi="Arial"/>
                <w:b/>
                <w:bCs/>
                <w:color w:val="FFFFFF"/>
                <w:spacing w:val="6"/>
                <w:sz w:val="19"/>
                <w:szCs w:val="19"/>
              </w:rPr>
              <w:t xml:space="preserve">Enhanced</w:t>
            </w:r>
          </w:p>
        </w:tc>
        <w:tc>
          <w:tcPr>
            <w:tcW w:type="dxa" w:w="212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center"/>
            </w:pPr>
            <w:r>
              <w:rPr>
                <w:rFonts w:ascii="Arial" w:cs="Arial" w:eastAsia="Arial" w:hAnsi="Arial"/>
                <w:b/>
                <w:bCs/>
                <w:color w:val="FFFFFF"/>
                <w:spacing w:val="6"/>
                <w:sz w:val="19"/>
                <w:szCs w:val="19"/>
              </w:rPr>
              <w:t xml:space="preserve">Elite</w:t>
            </w:r>
          </w:p>
        </w:tc>
      </w:tr>
      <w:tr>
        <w:tc>
          <w:tcPr>
            <w:tcW w:type="dxa" w:w="30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Months 1–3</w:t>
            </w:r>
          </w:p>
        </w:tc>
        <w:tc>
          <w:tcPr>
            <w:tcW w:type="dxa" w:w="212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45%</w:t>
            </w:r>
          </w:p>
        </w:tc>
        <w:tc>
          <w:tcPr>
            <w:tcW w:type="dxa" w:w="212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50%</w:t>
            </w:r>
          </w:p>
        </w:tc>
        <w:tc>
          <w:tcPr>
            <w:tcW w:type="dxa" w:w="212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55%</w:t>
            </w:r>
          </w:p>
        </w:tc>
      </w:tr>
      <w:tr>
        <w:tc>
          <w:tcPr>
            <w:tcW w:type="dxa" w:w="30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Months 4–6</w:t>
            </w:r>
          </w:p>
        </w:tc>
        <w:tc>
          <w:tcPr>
            <w:tcW w:type="dxa" w:w="212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35%</w:t>
            </w:r>
          </w:p>
        </w:tc>
        <w:tc>
          <w:tcPr>
            <w:tcW w:type="dxa" w:w="212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40%</w:t>
            </w:r>
          </w:p>
        </w:tc>
        <w:tc>
          <w:tcPr>
            <w:tcW w:type="dxa" w:w="212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45%</w:t>
            </w:r>
          </w:p>
        </w:tc>
      </w:tr>
      <w:tr>
        <w:tc>
          <w:tcPr>
            <w:tcW w:type="dxa" w:w="30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Months 7–9</w:t>
            </w:r>
          </w:p>
        </w:tc>
        <w:tc>
          <w:tcPr>
            <w:tcW w:type="dxa" w:w="212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25%</w:t>
            </w:r>
          </w:p>
        </w:tc>
        <w:tc>
          <w:tcPr>
            <w:tcW w:type="dxa" w:w="212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30%</w:t>
            </w:r>
          </w:p>
        </w:tc>
        <w:tc>
          <w:tcPr>
            <w:tcW w:type="dxa" w:w="212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35%</w:t>
            </w:r>
          </w:p>
        </w:tc>
      </w:tr>
      <w:tr>
        <w:tc>
          <w:tcPr>
            <w:tcW w:type="dxa" w:w="30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Months 10–12</w:t>
            </w:r>
          </w:p>
        </w:tc>
        <w:tc>
          <w:tcPr>
            <w:tcW w:type="dxa" w:w="212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15%</w:t>
            </w:r>
          </w:p>
        </w:tc>
        <w:tc>
          <w:tcPr>
            <w:tcW w:type="dxa" w:w="212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20%</w:t>
            </w:r>
          </w:p>
        </w:tc>
        <w:tc>
          <w:tcPr>
            <w:tcW w:type="dxa" w:w="212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25%</w:t>
            </w:r>
          </w:p>
        </w:tc>
      </w:tr>
      <w:tr>
        <w:tc>
          <w:tcPr>
            <w:tcW w:type="dxa" w:w="30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Month 13+ (Residual)</w:t>
            </w:r>
          </w:p>
        </w:tc>
        <w:tc>
          <w:tcPr>
            <w:tcW w:type="dxa" w:w="212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15%</w:t>
            </w:r>
          </w:p>
        </w:tc>
        <w:tc>
          <w:tcPr>
            <w:tcW w:type="dxa" w:w="212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15%</w:t>
            </w:r>
          </w:p>
        </w:tc>
        <w:tc>
          <w:tcPr>
            <w:tcW w:type="dxa" w:w="212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15%</w:t>
            </w:r>
          </w:p>
        </w:tc>
      </w:tr>
    </w:tbl>
    <w:p>
      <w:pPr>
        <w:keepNext/>
        <w:pBdr>
          <w:bottom w:val="single" w:color="C9A23F" w:sz="10" w:space="6"/>
        </w:pBdr>
        <w:spacing w:after="120" w:before="300"/>
      </w:pPr>
      <w:r>
        <w:rPr>
          <w:rFonts w:ascii="Arial" w:cs="Arial" w:eastAsia="Arial" w:hAnsi="Arial"/>
          <w:b/>
          <w:bCs/>
          <w:color w:val="16395C"/>
          <w:spacing w:val="14"/>
          <w:sz w:val="24"/>
          <w:szCs w:val="24"/>
        </w:rPr>
        <w:t xml:space="preserve">INTERNAL MEMBER PRICING</w:t>
      </w:r>
    </w:p>
    <w:p>
      <w:pPr>
        <w:spacing w:after="140" w:before="0" w:line="276"/>
      </w:pPr>
      <w:r>
        <w:rPr>
          <w:rFonts w:ascii="Arial" w:cs="Arial" w:eastAsia="Arial" w:hAnsi="Arial"/>
          <w:color w:val="1E2733"/>
          <w:sz w:val="21"/>
          <w:szCs w:val="21"/>
        </w:rPr>
        <w:t xml:space="preserve">LeaderShield members receive preferred pricing. No commissions are paid on internal purchases; the objective is to create product belief, testimonials, recruiting advantages, increased retention, and power users within the ecosystem.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left"/>
            </w:pPr>
            <w:r>
              <w:rPr>
                <w:rFonts w:ascii="Arial" w:cs="Arial" w:eastAsia="Arial" w:hAnsi="Arial"/>
                <w:b/>
                <w:bCs/>
                <w:color w:val="FFFFFF"/>
                <w:spacing w:val="6"/>
                <w:sz w:val="19"/>
                <w:szCs w:val="19"/>
              </w:rPr>
              <w:t xml:space="preserve">Product</w:t>
            </w:r>
          </w:p>
        </w:tc>
        <w:tc>
          <w:tcPr>
            <w:tcW w:type="dxa" w:w="468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center"/>
            </w:pPr>
            <w:r>
              <w:rPr>
                <w:rFonts w:ascii="Arial" w:cs="Arial" w:eastAsia="Arial" w:hAnsi="Arial"/>
                <w:b/>
                <w:bCs/>
                <w:color w:val="FFFFFF"/>
                <w:spacing w:val="6"/>
                <w:sz w:val="19"/>
                <w:szCs w:val="19"/>
              </w:rPr>
              <w:t xml:space="preserve">Internal Member Price</w:t>
            </w:r>
          </w:p>
        </w:tc>
      </w:tr>
      <w:tr>
        <w:tc>
          <w:tcPr>
            <w:tcW w:type="dxa" w:w="468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Starter</w:t>
            </w:r>
          </w:p>
        </w:tc>
        <w:tc>
          <w:tcPr>
            <w:tcW w:type="dxa" w:w="468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$99</w:t>
            </w:r>
          </w:p>
        </w:tc>
      </w:tr>
      <w:tr>
        <w:tc>
          <w:tcPr>
            <w:tcW w:type="dxa" w:w="468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Growth Foundation</w:t>
            </w:r>
          </w:p>
        </w:tc>
        <w:tc>
          <w:tcPr>
            <w:tcW w:type="dxa" w:w="468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$249</w:t>
            </w:r>
          </w:p>
        </w:tc>
      </w:tr>
      <w:tr>
        <w:tc>
          <w:tcPr>
            <w:tcW w:type="dxa" w:w="468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Revenue Growth System</w:t>
            </w:r>
          </w:p>
        </w:tc>
        <w:tc>
          <w:tcPr>
            <w:tcW w:type="dxa" w:w="468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$449</w:t>
            </w:r>
          </w:p>
        </w:tc>
      </w:tr>
      <w:tr>
        <w:tc>
          <w:tcPr>
            <w:tcW w:type="dxa" w:w="468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Revenue Scale AI</w:t>
            </w:r>
          </w:p>
        </w:tc>
        <w:tc>
          <w:tcPr>
            <w:tcW w:type="dxa" w:w="468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$899</w:t>
            </w:r>
          </w:p>
        </w:tc>
      </w:tr>
    </w:tbl>
    <w:p>
      <w:pPr>
        <w:spacing w:after="40"/>
      </w:pPr>
      <w:r>
        <w:rPr>
          <w:rFonts w:ascii="Arial" w:cs="Arial" w:eastAsia="Arial" w:hAnsi="Arial"/>
        </w:rPr>
        <w:t xml:space="preserve"/>
      </w:r>
    </w:p>
    <w:p>
      <w:pPr>
        <w:keepNext/>
        <w:pBdr>
          <w:bottom w:val="single" w:color="C9A23F" w:sz="10" w:space="6"/>
        </w:pBdr>
        <w:spacing w:after="120" w:before="300"/>
      </w:pPr>
      <w:r>
        <w:rPr>
          <w:rFonts w:ascii="Arial" w:cs="Arial" w:eastAsia="Arial" w:hAnsi="Arial"/>
          <w:b/>
          <w:bCs/>
          <w:color w:val="16395C"/>
          <w:spacing w:val="14"/>
          <w:sz w:val="24"/>
          <w:szCs w:val="24"/>
        </w:rPr>
        <w:t xml:space="preserve">BUYOUT PHILOSOPHY</w:t>
      </w:r>
    </w:p>
    <w:p>
      <w:pPr>
        <w:spacing w:after="140" w:before="0" w:line="276"/>
      </w:pPr>
      <w:r>
        <w:rPr>
          <w:rFonts w:ascii="Arial" w:cs="Arial" w:eastAsia="Arial" w:hAnsi="Arial"/>
          <w:color w:val="1E2733"/>
          <w:sz w:val="21"/>
          <w:szCs w:val="21"/>
        </w:rPr>
        <w:t xml:space="preserve">Buyouts are unavailable on Starter. Buyouts are available for Growth Foundation, Revenue Growth System, and Revenue Scale AI. Eligibility requires a minimum of twelve months of participation, good standing, satisfaction of production requirements, and active platform membership. Management reserves discretion regarding approval.</w:t>
      </w:r>
    </w:p>
    <w:p>
      <w:r>
        <w:br w:type="page"/>
      </w:r>
    </w:p>
    <w:p>
      <w:pPr>
        <w:spacing w:after="380"/>
      </w:pPr>
      <w:r>
        <w:rPr>
          <w:rFonts w:ascii="Arial" w:cs="Arial" w:eastAsia="Arial" w:hAnsi="Arial"/>
        </w:rPr>
        <w:t xml:space="preserve"/>
      </w:r>
    </w:p>
    <w:p>
      <w:pPr>
        <w:spacing w:after="0"/>
        <w:jc w:val="left"/>
      </w:pPr>
      <w:r>
        <w:rPr>
          <w:rFonts w:ascii="Arial" w:cs="Arial" w:eastAsia="Arial" w:hAnsi="Arial"/>
          <w:b/>
          <w:bCs/>
          <w:color w:val="9A7A28"/>
          <w:spacing w:val="60"/>
          <w:sz w:val="20"/>
          <w:szCs w:val="20"/>
        </w:rPr>
        <w:t xml:space="preserve">SECTION</w:t>
      </w:r>
    </w:p>
    <w:p>
      <w:pPr>
        <w:spacing w:after="60"/>
        <w:jc w:val="left"/>
      </w:pPr>
      <w:r>
        <w:rPr>
          <w:rFonts w:ascii="Georgia" w:cs="Georgia" w:eastAsia="Georgia" w:hAnsi="Georgia"/>
          <w:b/>
          <w:bCs/>
          <w:color w:val="16395C"/>
          <w:sz w:val="150"/>
          <w:szCs w:val="150"/>
        </w:rPr>
        <w:t xml:space="preserve">06</w:t>
      </w:r>
    </w:p>
    <w:p>
      <w:pPr>
        <w:pBdr>
          <w:bottom w:val="single" w:color="C9A23F" w:sz="20" w:space="10"/>
        </w:pBdr>
        <w:spacing w:after="160"/>
      </w:pPr>
      <w:r>
        <w:rPr>
          <w:rFonts w:ascii="Georgia" w:cs="Georgia" w:eastAsia="Georgia" w:hAnsi="Georgia"/>
          <w:b/>
          <w:bCs/>
          <w:color w:val="0C2438"/>
          <w:sz w:val="40"/>
          <w:szCs w:val="40"/>
        </w:rPr>
        <w:t xml:space="preserve">Qualification Tiers &amp; Performance Accelerators</w:t>
      </w:r>
    </w:p>
    <w:p>
      <w:pPr>
        <w:spacing w:after="260"/>
      </w:pPr>
      <w:r>
        <w:rPr>
          <w:rFonts w:ascii="Arial" w:cs="Arial" w:eastAsia="Arial" w:hAnsi="Arial"/>
          <w:i/>
          <w:iCs/>
          <w:color w:val="2E6E9E"/>
          <w:sz w:val="24"/>
          <w:szCs w:val="24"/>
        </w:rPr>
        <w:t xml:space="preserve">Compensation rewards not only production, but consistency, quality, and ecosystem participation.</w:t>
      </w:r>
    </w:p>
    <w:p>
      <w:pPr>
        <w:spacing w:after="80" w:before="120"/>
      </w:pPr>
      <w:r>
        <w:rPr>
          <w:rFonts w:ascii="Arial" w:cs="Arial" w:eastAsia="Arial" w:hAnsi="Arial"/>
          <w:b/>
          <w:bCs/>
          <w:color w:val="5C6675"/>
          <w:spacing w:val="24"/>
          <w:sz w:val="16"/>
          <w:szCs w:val="16"/>
        </w:rPr>
        <w:t xml:space="preserve">IN THIS SECTION</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Standard, Enhanced &amp; Elite distributor tiers</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Monthly recalculation</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The performance accelerator program</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Worked accelerator example</w:t>
      </w:r>
    </w:p>
    <w:p>
      <w:r>
        <w:br w:type="page"/>
      </w:r>
    </w:p>
    <w:p>
      <w:pPr>
        <w:spacing w:after="200" w:line="300"/>
      </w:pPr>
      <w:r>
        <w:rPr>
          <w:rFonts w:ascii="Arial" w:cs="Arial" w:eastAsia="Arial" w:hAnsi="Arial"/>
          <w:color w:val="16395C"/>
          <w:sz w:val="23"/>
          <w:szCs w:val="23"/>
        </w:rPr>
        <w:t xml:space="preserve">Distributors do not receive permanent payout levels. Instead, they qualify for compensation tiers based upon their current contribution to the platform. Qualification status is recalculated monthly, ensuring compensation remains aligned with present value creation rather than historical achievement.</w:t>
      </w:r>
    </w:p>
    <w:p>
      <w:pPr>
        <w:spacing w:after="140" w:before="0" w:line="276"/>
      </w:pPr>
      <w:r>
        <w:rPr>
          <w:rFonts w:ascii="Arial" w:cs="Arial" w:eastAsia="Arial" w:hAnsi="Arial"/>
          <w:color w:val="1E2733"/>
          <w:sz w:val="21"/>
          <w:szCs w:val="21"/>
        </w:rPr>
        <w:t xml:space="preserve">The purpose of this structure is to encourage consistent production, cross-engine participation, product penetration, merchant retention, organizational development, and long-term enterprise value.</w:t>
      </w:r>
    </w:p>
    <w:p>
      <w:pPr>
        <w:keepNext/>
        <w:pBdr>
          <w:bottom w:val="single" w:color="C9A23F" w:sz="10" w:space="6"/>
        </w:pBdr>
        <w:spacing w:after="120" w:before="300"/>
      </w:pPr>
      <w:r>
        <w:rPr>
          <w:rFonts w:ascii="Arial" w:cs="Arial" w:eastAsia="Arial" w:hAnsi="Arial"/>
          <w:b/>
          <w:bCs/>
          <w:color w:val="16395C"/>
          <w:spacing w:val="14"/>
          <w:sz w:val="24"/>
          <w:szCs w:val="24"/>
        </w:rPr>
        <w:t xml:space="preserve">STANDARD DISTRIBUTOR</w:t>
      </w:r>
    </w:p>
    <w:p>
      <w:pPr>
        <w:spacing w:after="140" w:before="0" w:line="276"/>
      </w:pPr>
      <w:r>
        <w:rPr>
          <w:rFonts w:ascii="Arial" w:cs="Arial" w:eastAsia="Arial" w:hAnsi="Arial"/>
          <w:color w:val="1E2733"/>
          <w:sz w:val="21"/>
          <w:szCs w:val="21"/>
        </w:rPr>
        <w:t xml:space="preserve">Standard Distributor status represents the entry point into the compensation architecture, providing attractive economics while encouraging advancement. Distributors must maintain active platform membership, remain in good standing, meet compliance requirements, and meet minimum production standards.</w:t>
      </w:r>
    </w:p>
    <w:p>
      <w:pPr>
        <w:keepNext/>
        <w:spacing w:after="40" w:before="160"/>
      </w:pPr>
      <w:r>
        <w:rPr>
          <w:rFonts w:ascii="Arial" w:cs="Arial" w:eastAsia="Arial" w:hAnsi="Arial"/>
          <w:b/>
          <w:bCs/>
          <w:color w:val="9A7A28"/>
          <w:spacing w:val="26"/>
          <w:sz w:val="17"/>
          <w:szCs w:val="17"/>
        </w:rPr>
        <w:t xml:space="preserve">STANDARD TIER — SUBSCRIPTION POOLS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left"/>
            </w:pPr>
            <w:r>
              <w:rPr>
                <w:rFonts w:ascii="Arial" w:cs="Arial" w:eastAsia="Arial" w:hAnsi="Arial"/>
                <w:b/>
                <w:bCs/>
                <w:color w:val="FFFFFF"/>
                <w:spacing w:val="6"/>
                <w:sz w:val="19"/>
                <w:szCs w:val="19"/>
              </w:rPr>
              <w:t xml:space="preserve">Starter</w:t>
            </w:r>
          </w:p>
        </w:tc>
        <w:tc>
          <w:tcPr>
            <w:tcW w:type="dxa" w:w="234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center"/>
            </w:pPr>
            <w:r>
              <w:rPr>
                <w:rFonts w:ascii="Arial" w:cs="Arial" w:eastAsia="Arial" w:hAnsi="Arial"/>
                <w:b/>
                <w:bCs/>
                <w:color w:val="FFFFFF"/>
                <w:spacing w:val="6"/>
                <w:sz w:val="19"/>
                <w:szCs w:val="19"/>
              </w:rPr>
              <w:t xml:space="preserve">Growth Foundation</w:t>
            </w:r>
          </w:p>
        </w:tc>
        <w:tc>
          <w:tcPr>
            <w:tcW w:type="dxa" w:w="234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center"/>
            </w:pPr>
            <w:r>
              <w:rPr>
                <w:rFonts w:ascii="Arial" w:cs="Arial" w:eastAsia="Arial" w:hAnsi="Arial"/>
                <w:b/>
                <w:bCs/>
                <w:color w:val="FFFFFF"/>
                <w:spacing w:val="6"/>
                <w:sz w:val="19"/>
                <w:szCs w:val="19"/>
              </w:rPr>
              <w:t xml:space="preserve">Revenue Growth System</w:t>
            </w:r>
          </w:p>
        </w:tc>
        <w:tc>
          <w:tcPr>
            <w:tcW w:type="dxa" w:w="234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center"/>
            </w:pPr>
            <w:r>
              <w:rPr>
                <w:rFonts w:ascii="Arial" w:cs="Arial" w:eastAsia="Arial" w:hAnsi="Arial"/>
                <w:b/>
                <w:bCs/>
                <w:color w:val="FFFFFF"/>
                <w:spacing w:val="6"/>
                <w:sz w:val="19"/>
                <w:szCs w:val="19"/>
              </w:rPr>
              <w:t xml:space="preserve">Revenue Scale AI</w:t>
            </w:r>
          </w:p>
        </w:tc>
      </w:tr>
      <w:tr>
        <w:tc>
          <w:tcPr>
            <w:tcW w:type="dxa" w:w="234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bCs/>
                <w:color w:val="9A7A28"/>
                <w:sz w:val="20"/>
                <w:szCs w:val="20"/>
              </w:rPr>
              <w:t xml:space="preserve">25%</w:t>
            </w:r>
          </w:p>
        </w:tc>
        <w:tc>
          <w:tcPr>
            <w:tcW w:type="dxa" w:w="234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bCs/>
                <w:color w:val="0C2438"/>
                <w:sz w:val="20"/>
                <w:szCs w:val="20"/>
              </w:rPr>
              <w:t xml:space="preserve">45%</w:t>
            </w:r>
          </w:p>
        </w:tc>
        <w:tc>
          <w:tcPr>
            <w:tcW w:type="dxa" w:w="234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bCs/>
                <w:color w:val="0C2438"/>
                <w:sz w:val="20"/>
                <w:szCs w:val="20"/>
              </w:rPr>
              <w:t xml:space="preserve">45%</w:t>
            </w:r>
          </w:p>
        </w:tc>
        <w:tc>
          <w:tcPr>
            <w:tcW w:type="dxa" w:w="234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bCs/>
                <w:color w:val="0C2438"/>
                <w:sz w:val="20"/>
                <w:szCs w:val="20"/>
              </w:rPr>
              <w:t xml:space="preserve">45%</w:t>
            </w:r>
          </w:p>
        </w:tc>
      </w:tr>
    </w:tbl>
    <w:p>
      <w:pPr>
        <w:spacing w:after="20"/>
      </w:pPr>
      <w:r>
        <w:rPr>
          <w:rFonts w:ascii="Arial" w:cs="Arial" w:eastAsia="Arial" w:hAnsi="Arial"/>
        </w:rPr>
        <w:t xml:space="preserve"/>
      </w:r>
    </w:p>
    <w:p>
      <w:pPr>
        <w:spacing w:after="140" w:before="0" w:line="276"/>
      </w:pPr>
      <w:r>
        <w:rPr>
          <w:rFonts w:ascii="Arial" w:cs="Arial" w:eastAsia="Arial" w:hAnsi="Arial"/>
          <w:color w:val="1E2733"/>
          <w:sz w:val="21"/>
          <w:szCs w:val="21"/>
        </w:rPr>
        <w:t xml:space="preserve">Standard status is generally appropriate for new producers, independent agents, part-time participants, and emerging organizations.</w:t>
      </w:r>
    </w:p>
    <w:p>
      <w:pPr>
        <w:keepNext/>
        <w:pBdr>
          <w:bottom w:val="single" w:color="C9A23F" w:sz="10" w:space="6"/>
        </w:pBdr>
        <w:spacing w:after="120" w:before="300"/>
      </w:pPr>
      <w:r>
        <w:rPr>
          <w:rFonts w:ascii="Arial" w:cs="Arial" w:eastAsia="Arial" w:hAnsi="Arial"/>
          <w:b/>
          <w:bCs/>
          <w:color w:val="16395C"/>
          <w:spacing w:val="14"/>
          <w:sz w:val="24"/>
          <w:szCs w:val="24"/>
        </w:rPr>
        <w:t xml:space="preserve">ENHANCED DISTRIBUTOR</w:t>
      </w:r>
    </w:p>
    <w:p>
      <w:pPr>
        <w:spacing w:after="140" w:before="0" w:line="276"/>
      </w:pPr>
      <w:r>
        <w:rPr>
          <w:rFonts w:ascii="Arial" w:cs="Arial" w:eastAsia="Arial" w:hAnsi="Arial"/>
          <w:color w:val="1E2733"/>
          <w:sz w:val="21"/>
          <w:szCs w:val="21"/>
        </w:rPr>
        <w:t xml:space="preserve">Enhanced Distributor status rewards producers demonstrating meaningful contribution and consistency. Distributors may qualify through any one of the following:</w:t>
      </w:r>
    </w:p>
    <w:p>
      <w:pPr>
        <w:pStyle w:val="ListParagraph"/>
        <w:numPr>
          <w:ilvl w:val="0"/>
          <w:numId w:val="3"/>
        </w:numPr>
        <w:spacing w:after="56" w:line="268"/>
      </w:pPr>
      <w:r>
        <w:rPr>
          <w:rFonts w:ascii="Arial" w:cs="Arial" w:eastAsia="Arial" w:hAnsi="Arial"/>
          <w:b/>
          <w:bCs/>
          <w:color w:val="0C2438"/>
          <w:sz w:val="21"/>
          <w:szCs w:val="21"/>
        </w:rPr>
        <w:t xml:space="preserve">Monthly Funded Volume:  </w:t>
      </w:r>
      <w:r>
        <w:rPr>
          <w:rFonts w:ascii="Arial" w:cs="Arial" w:eastAsia="Arial" w:hAnsi="Arial"/>
          <w:color w:val="1E2733"/>
          <w:sz w:val="21"/>
          <w:szCs w:val="21"/>
        </w:rPr>
        <w:t xml:space="preserve">$75,000+</w:t>
      </w:r>
    </w:p>
    <w:p>
      <w:pPr>
        <w:pStyle w:val="ListParagraph"/>
        <w:numPr>
          <w:ilvl w:val="0"/>
          <w:numId w:val="3"/>
        </w:numPr>
        <w:spacing w:after="56" w:line="268"/>
      </w:pPr>
      <w:r>
        <w:rPr>
          <w:rFonts w:ascii="Arial" w:cs="Arial" w:eastAsia="Arial" w:hAnsi="Arial"/>
          <w:b/>
          <w:bCs/>
          <w:color w:val="0C2438"/>
          <w:sz w:val="21"/>
          <w:szCs w:val="21"/>
        </w:rPr>
        <w:t xml:space="preserve">Monthly Collected Subscription Revenue:  </w:t>
      </w:r>
      <w:r>
        <w:rPr>
          <w:rFonts w:ascii="Arial" w:cs="Arial" w:eastAsia="Arial" w:hAnsi="Arial"/>
          <w:color w:val="1E2733"/>
          <w:sz w:val="21"/>
          <w:szCs w:val="21"/>
        </w:rPr>
        <w:t xml:space="preserve">$2,500+</w:t>
      </w:r>
    </w:p>
    <w:p>
      <w:pPr>
        <w:pStyle w:val="ListParagraph"/>
        <w:numPr>
          <w:ilvl w:val="0"/>
          <w:numId w:val="3"/>
        </w:numPr>
        <w:spacing w:after="56" w:line="268"/>
      </w:pPr>
      <w:r>
        <w:rPr>
          <w:rFonts w:ascii="Arial" w:cs="Arial" w:eastAsia="Arial" w:hAnsi="Arial"/>
          <w:b/>
          <w:bCs/>
          <w:color w:val="0C2438"/>
          <w:sz w:val="21"/>
          <w:szCs w:val="21"/>
        </w:rPr>
        <w:t xml:space="preserve">Active Subscription Count:  </w:t>
      </w:r>
      <w:r>
        <w:rPr>
          <w:rFonts w:ascii="Arial" w:cs="Arial" w:eastAsia="Arial" w:hAnsi="Arial"/>
          <w:color w:val="1E2733"/>
          <w:sz w:val="21"/>
          <w:szCs w:val="21"/>
        </w:rPr>
        <w:t xml:space="preserve">3 active merchant subscriptions</w:t>
      </w:r>
    </w:p>
    <w:p>
      <w:pPr>
        <w:pStyle w:val="ListParagraph"/>
        <w:numPr>
          <w:ilvl w:val="0"/>
          <w:numId w:val="3"/>
        </w:numPr>
        <w:spacing w:after="140" w:line="268"/>
      </w:pPr>
      <w:r>
        <w:rPr>
          <w:rFonts w:ascii="Arial" w:cs="Arial" w:eastAsia="Arial" w:hAnsi="Arial"/>
          <w:b/>
          <w:bCs/>
          <w:color w:val="0C2438"/>
          <w:sz w:val="21"/>
          <w:szCs w:val="21"/>
        </w:rPr>
        <w:t xml:space="preserve">Combined Production:  </w:t>
      </w:r>
      <w:r>
        <w:rPr>
          <w:rFonts w:ascii="Arial" w:cs="Arial" w:eastAsia="Arial" w:hAnsi="Arial"/>
          <w:color w:val="1E2733"/>
          <w:sz w:val="21"/>
          <w:szCs w:val="21"/>
        </w:rPr>
        <w:t xml:space="preserve">equivalent combined activity across both engines</w:t>
      </w:r>
    </w:p>
    <w:p>
      <w:pPr>
        <w:keepNext/>
        <w:spacing w:after="40" w:before="160"/>
      </w:pPr>
      <w:r>
        <w:rPr>
          <w:rFonts w:ascii="Arial" w:cs="Arial" w:eastAsia="Arial" w:hAnsi="Arial"/>
          <w:b/>
          <w:bCs/>
          <w:color w:val="9A7A28"/>
          <w:spacing w:val="26"/>
          <w:sz w:val="17"/>
          <w:szCs w:val="17"/>
        </w:rPr>
        <w:t xml:space="preserve">ENHANCED TIER — SUBSCRIPTION POOLS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left"/>
            </w:pPr>
            <w:r>
              <w:rPr>
                <w:rFonts w:ascii="Arial" w:cs="Arial" w:eastAsia="Arial" w:hAnsi="Arial"/>
                <w:b/>
                <w:bCs/>
                <w:color w:val="FFFFFF"/>
                <w:spacing w:val="6"/>
                <w:sz w:val="19"/>
                <w:szCs w:val="19"/>
              </w:rPr>
              <w:t xml:space="preserve">Starter</w:t>
            </w:r>
          </w:p>
        </w:tc>
        <w:tc>
          <w:tcPr>
            <w:tcW w:type="dxa" w:w="234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center"/>
            </w:pPr>
            <w:r>
              <w:rPr>
                <w:rFonts w:ascii="Arial" w:cs="Arial" w:eastAsia="Arial" w:hAnsi="Arial"/>
                <w:b/>
                <w:bCs/>
                <w:color w:val="FFFFFF"/>
                <w:spacing w:val="6"/>
                <w:sz w:val="19"/>
                <w:szCs w:val="19"/>
              </w:rPr>
              <w:t xml:space="preserve">Growth Foundation</w:t>
            </w:r>
          </w:p>
        </w:tc>
        <w:tc>
          <w:tcPr>
            <w:tcW w:type="dxa" w:w="234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center"/>
            </w:pPr>
            <w:r>
              <w:rPr>
                <w:rFonts w:ascii="Arial" w:cs="Arial" w:eastAsia="Arial" w:hAnsi="Arial"/>
                <w:b/>
                <w:bCs/>
                <w:color w:val="FFFFFF"/>
                <w:spacing w:val="6"/>
                <w:sz w:val="19"/>
                <w:szCs w:val="19"/>
              </w:rPr>
              <w:t xml:space="preserve">Revenue Growth System</w:t>
            </w:r>
          </w:p>
        </w:tc>
        <w:tc>
          <w:tcPr>
            <w:tcW w:type="dxa" w:w="234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center"/>
            </w:pPr>
            <w:r>
              <w:rPr>
                <w:rFonts w:ascii="Arial" w:cs="Arial" w:eastAsia="Arial" w:hAnsi="Arial"/>
                <w:b/>
                <w:bCs/>
                <w:color w:val="FFFFFF"/>
                <w:spacing w:val="6"/>
                <w:sz w:val="19"/>
                <w:szCs w:val="19"/>
              </w:rPr>
              <w:t xml:space="preserve">Revenue Scale AI</w:t>
            </w:r>
          </w:p>
        </w:tc>
      </w:tr>
      <w:tr>
        <w:tc>
          <w:tcPr>
            <w:tcW w:type="dxa" w:w="234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bCs/>
                <w:color w:val="9A7A28"/>
                <w:sz w:val="20"/>
                <w:szCs w:val="20"/>
              </w:rPr>
              <w:t xml:space="preserve">30%</w:t>
            </w:r>
          </w:p>
        </w:tc>
        <w:tc>
          <w:tcPr>
            <w:tcW w:type="dxa" w:w="234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bCs/>
                <w:color w:val="0C2438"/>
                <w:sz w:val="20"/>
                <w:szCs w:val="20"/>
              </w:rPr>
              <w:t xml:space="preserve">50%</w:t>
            </w:r>
          </w:p>
        </w:tc>
        <w:tc>
          <w:tcPr>
            <w:tcW w:type="dxa" w:w="234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bCs/>
                <w:color w:val="0C2438"/>
                <w:sz w:val="20"/>
                <w:szCs w:val="20"/>
              </w:rPr>
              <w:t xml:space="preserve">50%</w:t>
            </w:r>
          </w:p>
        </w:tc>
        <w:tc>
          <w:tcPr>
            <w:tcW w:type="dxa" w:w="234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bCs/>
                <w:color w:val="0C2438"/>
                <w:sz w:val="20"/>
                <w:szCs w:val="20"/>
              </w:rPr>
              <w:t xml:space="preserve">50%</w:t>
            </w:r>
          </w:p>
        </w:tc>
      </w:tr>
    </w:tbl>
    <w:p>
      <w:pPr>
        <w:spacing w:after="20"/>
      </w:pPr>
      <w:r>
        <w:rPr>
          <w:rFonts w:ascii="Arial" w:cs="Arial" w:eastAsia="Arial" w:hAnsi="Arial"/>
        </w:rPr>
        <w:t xml:space="preserve"/>
      </w:r>
    </w:p>
    <w:p>
      <w:pPr>
        <w:spacing w:after="140" w:before="0" w:line="276"/>
      </w:pPr>
      <w:r>
        <w:rPr>
          <w:rFonts w:ascii="Arial" w:cs="Arial" w:eastAsia="Arial" w:hAnsi="Arial"/>
          <w:color w:val="1E2733"/>
          <w:sz w:val="21"/>
          <w:szCs w:val="21"/>
        </w:rPr>
        <w:t xml:space="preserve">Enhanced distributors are generally full-time producers, growing agencies, consistent performers, and relationship builders.</w:t>
      </w:r>
    </w:p>
    <w:p>
      <w:pPr>
        <w:keepNext/>
        <w:pBdr>
          <w:bottom w:val="single" w:color="C9A23F" w:sz="10" w:space="6"/>
        </w:pBdr>
        <w:spacing w:after="120" w:before="300"/>
      </w:pPr>
      <w:r>
        <w:rPr>
          <w:rFonts w:ascii="Arial" w:cs="Arial" w:eastAsia="Arial" w:hAnsi="Arial"/>
          <w:b/>
          <w:bCs/>
          <w:color w:val="16395C"/>
          <w:spacing w:val="14"/>
          <w:sz w:val="24"/>
          <w:szCs w:val="24"/>
        </w:rPr>
        <w:t xml:space="preserve">ELITE DISTRIBUTOR</w:t>
      </w:r>
    </w:p>
    <w:p>
      <w:pPr>
        <w:spacing w:after="140" w:before="0" w:line="276"/>
      </w:pPr>
      <w:r>
        <w:rPr>
          <w:rFonts w:ascii="Arial" w:cs="Arial" w:eastAsia="Arial" w:hAnsi="Arial"/>
          <w:color w:val="1E2733"/>
          <w:sz w:val="21"/>
          <w:szCs w:val="21"/>
        </w:rPr>
        <w:t xml:space="preserve">Elite status represents the highest standard compensation level available. Distributors may qualify through any one of the following:</w:t>
      </w:r>
    </w:p>
    <w:p>
      <w:pPr>
        <w:pStyle w:val="ListParagraph"/>
        <w:numPr>
          <w:ilvl w:val="0"/>
          <w:numId w:val="3"/>
        </w:numPr>
        <w:spacing w:after="56" w:line="268"/>
      </w:pPr>
      <w:r>
        <w:rPr>
          <w:rFonts w:ascii="Arial" w:cs="Arial" w:eastAsia="Arial" w:hAnsi="Arial"/>
          <w:b/>
          <w:bCs/>
          <w:color w:val="0C2438"/>
          <w:sz w:val="21"/>
          <w:szCs w:val="21"/>
        </w:rPr>
        <w:t xml:space="preserve">Monthly Funded Volume:  </w:t>
      </w:r>
      <w:r>
        <w:rPr>
          <w:rFonts w:ascii="Arial" w:cs="Arial" w:eastAsia="Arial" w:hAnsi="Arial"/>
          <w:color w:val="1E2733"/>
          <w:sz w:val="21"/>
          <w:szCs w:val="21"/>
        </w:rPr>
        <w:t xml:space="preserve">$250,000+</w:t>
      </w:r>
    </w:p>
    <w:p>
      <w:pPr>
        <w:pStyle w:val="ListParagraph"/>
        <w:numPr>
          <w:ilvl w:val="0"/>
          <w:numId w:val="3"/>
        </w:numPr>
        <w:spacing w:after="56" w:line="268"/>
      </w:pPr>
      <w:r>
        <w:rPr>
          <w:rFonts w:ascii="Arial" w:cs="Arial" w:eastAsia="Arial" w:hAnsi="Arial"/>
          <w:b/>
          <w:bCs/>
          <w:color w:val="0C2438"/>
          <w:sz w:val="21"/>
          <w:szCs w:val="21"/>
        </w:rPr>
        <w:t xml:space="preserve">Monthly Collected Subscription Revenue:  </w:t>
      </w:r>
      <w:r>
        <w:rPr>
          <w:rFonts w:ascii="Arial" w:cs="Arial" w:eastAsia="Arial" w:hAnsi="Arial"/>
          <w:color w:val="1E2733"/>
          <w:sz w:val="21"/>
          <w:szCs w:val="21"/>
        </w:rPr>
        <w:t xml:space="preserve">$7,500+</w:t>
      </w:r>
    </w:p>
    <w:p>
      <w:pPr>
        <w:pStyle w:val="ListParagraph"/>
        <w:numPr>
          <w:ilvl w:val="0"/>
          <w:numId w:val="3"/>
        </w:numPr>
        <w:spacing w:after="56" w:line="268"/>
      </w:pPr>
      <w:r>
        <w:rPr>
          <w:rFonts w:ascii="Arial" w:cs="Arial" w:eastAsia="Arial" w:hAnsi="Arial"/>
          <w:b/>
          <w:bCs/>
          <w:color w:val="0C2438"/>
          <w:sz w:val="21"/>
          <w:szCs w:val="21"/>
        </w:rPr>
        <w:t xml:space="preserve">Active Subscription Count:  </w:t>
      </w:r>
      <w:r>
        <w:rPr>
          <w:rFonts w:ascii="Arial" w:cs="Arial" w:eastAsia="Arial" w:hAnsi="Arial"/>
          <w:color w:val="1E2733"/>
          <w:sz w:val="21"/>
          <w:szCs w:val="21"/>
        </w:rPr>
        <w:t xml:space="preserve">8 active subscriptions</w:t>
      </w:r>
    </w:p>
    <w:p>
      <w:pPr>
        <w:pStyle w:val="ListParagraph"/>
        <w:numPr>
          <w:ilvl w:val="0"/>
          <w:numId w:val="3"/>
        </w:numPr>
        <w:spacing w:after="140" w:line="268"/>
      </w:pPr>
      <w:r>
        <w:rPr>
          <w:rFonts w:ascii="Arial" w:cs="Arial" w:eastAsia="Arial" w:hAnsi="Arial"/>
          <w:b/>
          <w:bCs/>
          <w:color w:val="0C2438"/>
          <w:sz w:val="21"/>
          <w:szCs w:val="21"/>
        </w:rPr>
        <w:t xml:space="preserve">Combined Production Metrics:  </w:t>
      </w:r>
      <w:r>
        <w:rPr>
          <w:rFonts w:ascii="Arial" w:cs="Arial" w:eastAsia="Arial" w:hAnsi="Arial"/>
          <w:color w:val="1E2733"/>
          <w:sz w:val="21"/>
          <w:szCs w:val="21"/>
        </w:rPr>
        <w:t xml:space="preserve">equivalent activity across multiple economic engines</w:t>
      </w:r>
    </w:p>
    <w:p>
      <w:pPr>
        <w:keepNext/>
        <w:spacing w:after="40" w:before="160"/>
      </w:pPr>
      <w:r>
        <w:rPr>
          <w:rFonts w:ascii="Arial" w:cs="Arial" w:eastAsia="Arial" w:hAnsi="Arial"/>
          <w:b/>
          <w:bCs/>
          <w:color w:val="9A7A28"/>
          <w:spacing w:val="26"/>
          <w:sz w:val="17"/>
          <w:szCs w:val="17"/>
        </w:rPr>
        <w:t xml:space="preserve">ELITE TIER — SUBSCRIPTION POOLS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left"/>
            </w:pPr>
            <w:r>
              <w:rPr>
                <w:rFonts w:ascii="Arial" w:cs="Arial" w:eastAsia="Arial" w:hAnsi="Arial"/>
                <w:b/>
                <w:bCs/>
                <w:color w:val="FFFFFF"/>
                <w:spacing w:val="6"/>
                <w:sz w:val="19"/>
                <w:szCs w:val="19"/>
              </w:rPr>
              <w:t xml:space="preserve">Starter</w:t>
            </w:r>
          </w:p>
        </w:tc>
        <w:tc>
          <w:tcPr>
            <w:tcW w:type="dxa" w:w="234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center"/>
            </w:pPr>
            <w:r>
              <w:rPr>
                <w:rFonts w:ascii="Arial" w:cs="Arial" w:eastAsia="Arial" w:hAnsi="Arial"/>
                <w:b/>
                <w:bCs/>
                <w:color w:val="FFFFFF"/>
                <w:spacing w:val="6"/>
                <w:sz w:val="19"/>
                <w:szCs w:val="19"/>
              </w:rPr>
              <w:t xml:space="preserve">Growth Foundation</w:t>
            </w:r>
          </w:p>
        </w:tc>
        <w:tc>
          <w:tcPr>
            <w:tcW w:type="dxa" w:w="234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center"/>
            </w:pPr>
            <w:r>
              <w:rPr>
                <w:rFonts w:ascii="Arial" w:cs="Arial" w:eastAsia="Arial" w:hAnsi="Arial"/>
                <w:b/>
                <w:bCs/>
                <w:color w:val="FFFFFF"/>
                <w:spacing w:val="6"/>
                <w:sz w:val="19"/>
                <w:szCs w:val="19"/>
              </w:rPr>
              <w:t xml:space="preserve">Revenue Growth System</w:t>
            </w:r>
          </w:p>
        </w:tc>
        <w:tc>
          <w:tcPr>
            <w:tcW w:type="dxa" w:w="234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center"/>
            </w:pPr>
            <w:r>
              <w:rPr>
                <w:rFonts w:ascii="Arial" w:cs="Arial" w:eastAsia="Arial" w:hAnsi="Arial"/>
                <w:b/>
                <w:bCs/>
                <w:color w:val="FFFFFF"/>
                <w:spacing w:val="6"/>
                <w:sz w:val="19"/>
                <w:szCs w:val="19"/>
              </w:rPr>
              <w:t xml:space="preserve">Revenue Scale AI</w:t>
            </w:r>
          </w:p>
        </w:tc>
      </w:tr>
      <w:tr>
        <w:tc>
          <w:tcPr>
            <w:tcW w:type="dxa" w:w="234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bCs/>
                <w:color w:val="9A7A28"/>
                <w:sz w:val="20"/>
                <w:szCs w:val="20"/>
              </w:rPr>
              <w:t xml:space="preserve">35%</w:t>
            </w:r>
          </w:p>
        </w:tc>
        <w:tc>
          <w:tcPr>
            <w:tcW w:type="dxa" w:w="234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bCs/>
                <w:color w:val="0C2438"/>
                <w:sz w:val="20"/>
                <w:szCs w:val="20"/>
              </w:rPr>
              <w:t xml:space="preserve">55%</w:t>
            </w:r>
          </w:p>
        </w:tc>
        <w:tc>
          <w:tcPr>
            <w:tcW w:type="dxa" w:w="234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bCs/>
                <w:color w:val="0C2438"/>
                <w:sz w:val="20"/>
                <w:szCs w:val="20"/>
              </w:rPr>
              <w:t xml:space="preserve">55%</w:t>
            </w:r>
          </w:p>
        </w:tc>
        <w:tc>
          <w:tcPr>
            <w:tcW w:type="dxa" w:w="234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bCs/>
                <w:color w:val="0C2438"/>
                <w:sz w:val="20"/>
                <w:szCs w:val="20"/>
              </w:rPr>
              <w:t xml:space="preserve">55%</w:t>
            </w:r>
          </w:p>
        </w:tc>
      </w:tr>
    </w:tbl>
    <w:p>
      <w:pPr>
        <w:spacing w:after="20"/>
      </w:pPr>
      <w:r>
        <w:rPr>
          <w:rFonts w:ascii="Arial" w:cs="Arial" w:eastAsia="Arial" w:hAnsi="Arial"/>
        </w:rPr>
        <w:t xml:space="preserve"/>
      </w:r>
    </w:p>
    <w:p>
      <w:pPr>
        <w:spacing w:after="140" w:before="0" w:line="276"/>
      </w:pPr>
      <w:r>
        <w:rPr>
          <w:rFonts w:ascii="Arial" w:cs="Arial" w:eastAsia="Arial" w:hAnsi="Arial"/>
          <w:color w:val="1E2733"/>
          <w:sz w:val="21"/>
          <w:szCs w:val="21"/>
        </w:rPr>
        <w:t xml:space="preserve">Elite distributors are typically organizational leaders, high-volume producers, strong recruiters, and high-retention operators.</w:t>
      </w:r>
    </w:p>
    <w:tbl>
      <w:tblPr>
        <w:tblW w:type="dxa" w:w="9360"/>
        <w:tblBorders>
          <w:top w:val="single" w:color="EAF0F6" w:sz="2"/>
          <w:left w:val="single" w:color="2E6E9E" w:sz="30"/>
          <w:bottom w:val="single" w:color="EAF0F6" w:sz="2"/>
          <w:right w:val="single" w:color="EAF0F6" w:sz="2"/>
          <w:insideH w:val="single" w:color="auto" w:sz="4"/>
          <w:insideV w:val="single" w:color="auto" w:sz="4"/>
        </w:tblBorders>
      </w:tblPr>
      <w:tblGrid>
        <w:gridCol w:w="9360"/>
      </w:tblGrid>
      <w:tr>
        <w:tc>
          <w:tcPr>
            <w:tcW w:type="dxa" w:w="9360"/>
            <w:shd w:fill="EAF0F6" w:val="clear"/>
            <w:tcMar>
              <w:top w:type="dxa" w:w="150"/>
              <w:left w:type="dxa" w:w="240"/>
              <w:bottom w:type="dxa" w:w="150"/>
              <w:right w:type="dxa" w:w="220"/>
            </w:tcMar>
          </w:tcPr>
          <w:p>
            <w:pPr>
              <w:spacing w:after="60"/>
            </w:pPr>
            <w:r>
              <w:rPr>
                <w:rFonts w:ascii="Arial" w:cs="Arial" w:eastAsia="Arial" w:hAnsi="Arial"/>
                <w:b/>
                <w:bCs/>
                <w:color w:val="2E6E9E"/>
                <w:spacing w:val="18"/>
                <w:sz w:val="17"/>
                <w:szCs w:val="17"/>
              </w:rPr>
              <w:t xml:space="preserve">MONTHLY RECALCULATION</w:t>
            </w:r>
          </w:p>
          <w:p>
            <w:pPr>
              <w:spacing w:after="0" w:line="280"/>
            </w:pPr>
            <w:r>
              <w:rPr>
                <w:rFonts w:ascii="Arial" w:cs="Arial" w:eastAsia="Arial" w:hAnsi="Arial"/>
                <w:i w:val="false"/>
                <w:iCs w:val="false"/>
                <w:color w:val="0C2438"/>
                <w:sz w:val="21"/>
                <w:szCs w:val="21"/>
              </w:rPr>
              <w:t xml:space="preserve">Distributor status is recalculated monthly. There are no annual locks, no grandfathered tiers, and no permanent status. Management believes monthly recalculation strengthens accountability and alignment.</w:t>
            </w:r>
          </w:p>
        </w:tc>
      </w:tr>
    </w:tbl>
    <w:p>
      <w:pPr>
        <w:keepNext/>
        <w:pBdr>
          <w:bottom w:val="single" w:color="C9A23F" w:sz="10" w:space="6"/>
        </w:pBdr>
        <w:spacing w:after="120" w:before="300"/>
      </w:pPr>
      <w:r>
        <w:rPr>
          <w:rFonts w:ascii="Arial" w:cs="Arial" w:eastAsia="Arial" w:hAnsi="Arial"/>
          <w:b/>
          <w:bCs/>
          <w:color w:val="16395C"/>
          <w:spacing w:val="14"/>
          <w:sz w:val="24"/>
          <w:szCs w:val="24"/>
        </w:rPr>
        <w:t xml:space="preserve">PERFORMANCE ACCELERATOR PROGRAM</w:t>
      </w:r>
    </w:p>
    <w:p>
      <w:pPr>
        <w:spacing w:after="140" w:before="0" w:line="276"/>
      </w:pPr>
      <w:r>
        <w:rPr>
          <w:rFonts w:ascii="Arial" w:cs="Arial" w:eastAsia="Arial" w:hAnsi="Arial"/>
          <w:color w:val="1E2733"/>
          <w:sz w:val="21"/>
          <w:szCs w:val="21"/>
        </w:rPr>
        <w:t xml:space="preserve">Performance accelerators exist outside the standard commission pools. They are paid monthly, recalculated monthly, non-vested, and subject to modification, and are designed to reward behaviors that increase merchant outcomes, contribution EBITDA, product penetration, ecosystem participation, and long-term value.</w:t>
      </w:r>
    </w:p>
    <w:p>
      <w:pPr>
        <w:spacing w:after="140" w:before="0" w:line="276"/>
      </w:pPr>
      <w:r>
        <w:rPr>
          <w:rFonts w:ascii="Arial" w:cs="Arial" w:eastAsia="Arial" w:hAnsi="Arial"/>
          <w:color w:val="1E2733"/>
          <w:sz w:val="21"/>
          <w:szCs w:val="21"/>
        </w:rPr>
        <w:t xml:space="preserve">Accelerators apply to the premium products (Growth Foundation, Revenue Growth System, and Revenue Scale AI). </w:t>
      </w:r>
      <w:r>
        <w:rPr>
          <w:rFonts w:ascii="Arial" w:cs="Arial" w:eastAsia="Arial" w:hAnsi="Arial"/>
          <w:b/>
          <w:bCs/>
          <w:color w:val="0C2438"/>
          <w:sz w:val="21"/>
          <w:szCs w:val="21"/>
        </w:rPr>
        <w:t xml:space="preserve">Starter is not eligible for accelerators.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700"/>
        <w:gridCol w:w="3960"/>
      </w:tblGrid>
      <w:tr>
        <w:trPr>
          <w:tblHeader/>
        </w:trPr>
        <w:tc>
          <w:tcPr>
            <w:tcW w:type="dxa" w:w="370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left"/>
            </w:pPr>
            <w:r>
              <w:rPr>
                <w:rFonts w:ascii="Arial" w:cs="Arial" w:eastAsia="Arial" w:hAnsi="Arial"/>
                <w:b/>
                <w:bCs/>
                <w:color w:val="FFFFFF"/>
                <w:spacing w:val="6"/>
                <w:sz w:val="19"/>
                <w:szCs w:val="19"/>
              </w:rPr>
              <w:t xml:space="preserve">Accelerator</w:t>
            </w:r>
          </w:p>
        </w:tc>
        <w:tc>
          <w:tcPr>
            <w:tcW w:type="dxa" w:w="170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left"/>
            </w:pPr>
            <w:r>
              <w:rPr>
                <w:rFonts w:ascii="Arial" w:cs="Arial" w:eastAsia="Arial" w:hAnsi="Arial"/>
                <w:b/>
                <w:bCs/>
                <w:color w:val="FFFFFF"/>
                <w:spacing w:val="6"/>
                <w:sz w:val="19"/>
                <w:szCs w:val="19"/>
              </w:rPr>
              <w:t xml:space="preserve">Bonus</w:t>
            </w:r>
          </w:p>
        </w:tc>
        <w:tc>
          <w:tcPr>
            <w:tcW w:type="dxa" w:w="396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left"/>
            </w:pPr>
            <w:r>
              <w:rPr>
                <w:rFonts w:ascii="Arial" w:cs="Arial" w:eastAsia="Arial" w:hAnsi="Arial"/>
                <w:b/>
                <w:bCs/>
                <w:color w:val="FFFFFF"/>
                <w:spacing w:val="6"/>
                <w:sz w:val="19"/>
                <w:szCs w:val="19"/>
              </w:rPr>
              <w:t xml:space="preserve">Basis</w:t>
            </w:r>
          </w:p>
        </w:tc>
      </w:tr>
      <w:tr>
        <w:tc>
          <w:tcPr>
            <w:tcW w:type="dxa" w:w="37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Volume</w:t>
            </w:r>
          </w:p>
        </w:tc>
        <w:tc>
          <w:tcPr>
            <w:tcW w:type="dxa" w:w="17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+2%</w:t>
            </w:r>
          </w:p>
        </w:tc>
        <w:tc>
          <w:tcPr>
            <w:tcW w:type="dxa" w:w="396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Twenty or more active subscriptions</w:t>
            </w:r>
          </w:p>
        </w:tc>
      </w:tr>
      <w:tr>
        <w:tc>
          <w:tcPr>
            <w:tcW w:type="dxa" w:w="37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Quality &amp; Retention</w:t>
            </w:r>
          </w:p>
        </w:tc>
        <w:tc>
          <w:tcPr>
            <w:tcW w:type="dxa" w:w="17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+1%</w:t>
            </w:r>
          </w:p>
        </w:tc>
        <w:tc>
          <w:tcPr>
            <w:tcW w:type="dxa" w:w="396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Twelve-month churn below thresholds; strong retention</w:t>
            </w:r>
          </w:p>
        </w:tc>
      </w:tr>
      <w:tr>
        <w:tc>
          <w:tcPr>
            <w:tcW w:type="dxa" w:w="37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Premium Product Mix</w:t>
            </w:r>
          </w:p>
        </w:tc>
        <w:tc>
          <w:tcPr>
            <w:tcW w:type="dxa" w:w="17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+1%</w:t>
            </w:r>
          </w:p>
        </w:tc>
        <w:tc>
          <w:tcPr>
            <w:tcW w:type="dxa" w:w="396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60%+ of subscriptions in Revenue Growth System / Revenue Scale AI</w:t>
            </w:r>
          </w:p>
        </w:tc>
      </w:tr>
      <w:tr>
        <w:tc>
          <w:tcPr>
            <w:tcW w:type="dxa" w:w="37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Merchant Outcomes (MCA Attachment)</w:t>
            </w:r>
          </w:p>
        </w:tc>
        <w:tc>
          <w:tcPr>
            <w:tcW w:type="dxa" w:w="17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+1%</w:t>
            </w:r>
          </w:p>
        </w:tc>
        <w:tc>
          <w:tcPr>
            <w:tcW w:type="dxa" w:w="396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Strong attachment between MCA and subscription products</w:t>
            </w:r>
          </w:p>
        </w:tc>
      </w:tr>
      <w:tr>
        <w:tc>
          <w:tcPr>
            <w:tcW w:type="dxa" w:w="37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9A7A28"/>
                <w:sz w:val="20"/>
                <w:szCs w:val="20"/>
              </w:rPr>
              <w:t xml:space="preserve">Maximum Enhancement</w:t>
            </w:r>
          </w:p>
        </w:tc>
        <w:tc>
          <w:tcPr>
            <w:tcW w:type="dxa" w:w="17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9A7A28"/>
                <w:sz w:val="20"/>
                <w:szCs w:val="20"/>
              </w:rPr>
              <w:t xml:space="preserve">+5%</w:t>
            </w:r>
          </w:p>
        </w:tc>
        <w:tc>
          <w:tcPr>
            <w:tcW w:type="dxa" w:w="396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9A7A28"/>
                <w:sz w:val="20"/>
                <w:szCs w:val="20"/>
              </w:rPr>
              <w:t xml:space="preserve">Cap above standard subscription pools</w:t>
            </w:r>
          </w:p>
        </w:tc>
      </w:tr>
    </w:tbl>
    <w:p>
      <w:pPr>
        <w:spacing w:after="40"/>
      </w:pPr>
      <w:r>
        <w:rPr>
          <w:rFonts w:ascii="Arial" w:cs="Arial" w:eastAsia="Arial" w:hAnsi="Arial"/>
        </w:rPr>
        <w:t xml:space="preserve"/>
      </w:r>
    </w:p>
    <w:p>
      <w:pPr>
        <w:spacing w:after="140" w:before="0" w:line="276"/>
      </w:pPr>
      <w:r>
        <w:rPr>
          <w:rFonts w:ascii="Arial" w:cs="Arial" w:eastAsia="Arial" w:hAnsi="Arial"/>
          <w:color w:val="1E2733"/>
          <w:sz w:val="21"/>
          <w:szCs w:val="21"/>
        </w:rPr>
        <w:t xml:space="preserve">Management reserves the right to modify qualification criteria and enhancement amounts periodically.</w:t>
      </w:r>
    </w:p>
    <w:p>
      <w:pPr>
        <w:keepNext/>
        <w:spacing w:after="70" w:before="200"/>
      </w:pPr>
      <w:r>
        <w:rPr>
          <w:rFonts w:ascii="Arial" w:cs="Arial" w:eastAsia="Arial" w:hAnsi="Arial"/>
          <w:b/>
          <w:bCs/>
          <w:color w:val="C9A23F"/>
          <w:sz w:val="22"/>
          <w:szCs w:val="22"/>
        </w:rPr>
        <w:t xml:space="preserve">▍ </w:t>
      </w:r>
      <w:r>
        <w:rPr>
          <w:rFonts w:ascii="Arial" w:cs="Arial" w:eastAsia="Arial" w:hAnsi="Arial"/>
          <w:b/>
          <w:bCs/>
          <w:color w:val="0C2438"/>
          <w:sz w:val="22"/>
          <w:szCs w:val="22"/>
        </w:rPr>
        <w:t xml:space="preserve">Accelerator Example</w:t>
      </w:r>
    </w:p>
    <w:p>
      <w:pPr>
        <w:spacing w:after="140" w:before="0" w:line="276"/>
      </w:pPr>
      <w:r>
        <w:rPr>
          <w:rFonts w:ascii="Arial" w:cs="Arial" w:eastAsia="Arial" w:hAnsi="Arial"/>
          <w:color w:val="1E2733"/>
          <w:sz w:val="21"/>
          <w:szCs w:val="21"/>
        </w:rPr>
        <w:t xml:space="preserve">Assume an Elite distributor maintaining 25 active subscriptions, achieving a 65% Revenue Growth System mix, attaching subscriptions to MCA transactions, and maintaining strong retention. Potential enhancements stack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rPr>
          <w:tblHeader/>
        </w:trPr>
        <w:tc>
          <w:tcPr>
            <w:tcW w:type="dxa" w:w="620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left"/>
            </w:pPr>
            <w:r>
              <w:rPr>
                <w:rFonts w:ascii="Arial" w:cs="Arial" w:eastAsia="Arial" w:hAnsi="Arial"/>
                <w:b/>
                <w:bCs/>
                <w:color w:val="FFFFFF"/>
                <w:spacing w:val="6"/>
                <w:sz w:val="19"/>
                <w:szCs w:val="19"/>
              </w:rPr>
              <w:t xml:space="preserve">Accelerator</w:t>
            </w:r>
          </w:p>
        </w:tc>
        <w:tc>
          <w:tcPr>
            <w:tcW w:type="dxa" w:w="316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left"/>
            </w:pPr>
            <w:r>
              <w:rPr>
                <w:rFonts w:ascii="Arial" w:cs="Arial" w:eastAsia="Arial" w:hAnsi="Arial"/>
                <w:b/>
                <w:bCs/>
                <w:color w:val="FFFFFF"/>
                <w:spacing w:val="6"/>
                <w:sz w:val="19"/>
                <w:szCs w:val="19"/>
              </w:rPr>
              <w:t xml:space="preserve">Bonus</w:t>
            </w:r>
          </w:p>
        </w:tc>
      </w:tr>
      <w:tr>
        <w:tc>
          <w:tcPr>
            <w:tcW w:type="dxa" w:w="62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Volume</w:t>
            </w:r>
          </w:p>
        </w:tc>
        <w:tc>
          <w:tcPr>
            <w:tcW w:type="dxa" w:w="316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+2%</w:t>
            </w:r>
          </w:p>
        </w:tc>
      </w:tr>
      <w:tr>
        <w:tc>
          <w:tcPr>
            <w:tcW w:type="dxa" w:w="62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Quality &amp; Retention</w:t>
            </w:r>
          </w:p>
        </w:tc>
        <w:tc>
          <w:tcPr>
            <w:tcW w:type="dxa" w:w="316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+1%</w:t>
            </w:r>
          </w:p>
        </w:tc>
      </w:tr>
      <w:tr>
        <w:tc>
          <w:tcPr>
            <w:tcW w:type="dxa" w:w="62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Premium Product Mix</w:t>
            </w:r>
          </w:p>
        </w:tc>
        <w:tc>
          <w:tcPr>
            <w:tcW w:type="dxa" w:w="316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+1%</w:t>
            </w:r>
          </w:p>
        </w:tc>
      </w:tr>
      <w:tr>
        <w:tc>
          <w:tcPr>
            <w:tcW w:type="dxa" w:w="62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Merchant Outcomes (MCA Attachment)</w:t>
            </w:r>
          </w:p>
        </w:tc>
        <w:tc>
          <w:tcPr>
            <w:tcW w:type="dxa" w:w="316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+1%</w:t>
            </w:r>
          </w:p>
        </w:tc>
      </w:tr>
      <w:tr>
        <w:tc>
          <w:tcPr>
            <w:tcW w:type="dxa" w:w="62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9A7A28"/>
                <w:sz w:val="20"/>
                <w:szCs w:val="20"/>
              </w:rPr>
              <w:t xml:space="preserve">Total Enhancement</w:t>
            </w:r>
          </w:p>
        </w:tc>
        <w:tc>
          <w:tcPr>
            <w:tcW w:type="dxa" w:w="316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9A7A28"/>
                <w:sz w:val="20"/>
                <w:szCs w:val="20"/>
              </w:rPr>
              <w:t xml:space="preserve">+5%</w:t>
            </w:r>
          </w:p>
        </w:tc>
      </w:tr>
    </w:tbl>
    <w:p>
      <w:pPr>
        <w:spacing w:after="40"/>
      </w:pPr>
      <w:r>
        <w:rPr>
          <w:rFonts w:ascii="Arial" w:cs="Arial" w:eastAsia="Arial" w:hAnsi="Arial"/>
        </w:rPr>
        <w:t xml:space="preserve"/>
      </w:r>
    </w:p>
    <w:tbl>
      <w:tblPr>
        <w:tblW w:type="dxa" w:w="9360"/>
        <w:tblBorders>
          <w:top w:val="single" w:color="C9A23F" w:sz="4"/>
          <w:left w:val="single" w:color="C9A23F" w:sz="4"/>
          <w:bottom w:val="single" w:color="C9A23F" w:sz="4"/>
          <w:right w:val="single" w:color="C9A23F" w:sz="4"/>
          <w:insideH w:val="single" w:color="auto" w:sz="4"/>
          <w:insideV w:val="single" w:color="auto" w:sz="4"/>
        </w:tblBorders>
      </w:tblPr>
      <w:tblGrid>
        <w:gridCol w:w="9360"/>
      </w:tblGrid>
      <w:tr>
        <w:tc>
          <w:tcPr>
            <w:tcW w:type="dxa" w:w="9360"/>
            <w:shd w:fill="16395C" w:val="clear"/>
            <w:tcMar>
              <w:top w:type="dxa" w:w="130"/>
              <w:left w:type="dxa" w:w="200"/>
              <w:bottom w:type="dxa" w:w="130"/>
              <w:right w:type="dxa" w:w="200"/>
            </w:tcMar>
            <w:vAlign w:val="center"/>
          </w:tcPr>
          <w:p>
            <w:pPr>
              <w:spacing w:after="0"/>
              <w:jc w:val="center"/>
            </w:pPr>
            <w:r>
              <w:rPr>
                <w:rFonts w:ascii="Arial" w:cs="Arial" w:eastAsia="Arial" w:hAnsi="Arial"/>
                <w:b/>
                <w:bCs/>
                <w:color w:val="C9A23F"/>
                <w:spacing w:val="20"/>
                <w:sz w:val="18"/>
                <w:szCs w:val="18"/>
              </w:rPr>
              <w:t xml:space="preserve">ELITE BASE 55% + 5% ACCELERATOR =   </w:t>
            </w:r>
            <w:r>
              <w:rPr>
                <w:rFonts w:ascii="Georgia" w:cs="Georgia" w:eastAsia="Georgia" w:hAnsi="Georgia"/>
                <w:b/>
                <w:bCs/>
                <w:color w:val="FFFFFF"/>
                <w:sz w:val="40"/>
                <w:szCs w:val="40"/>
              </w:rPr>
              <w:t xml:space="preserve">60%</w:t>
            </w:r>
          </w:p>
        </w:tc>
      </w:tr>
    </w:tbl>
    <w:p>
      <w:pPr>
        <w:spacing w:after="20"/>
      </w:pPr>
      <w:r>
        <w:rPr>
          <w:rFonts w:ascii="Arial" w:cs="Arial" w:eastAsia="Arial" w:hAnsi="Arial"/>
        </w:rPr>
        <w:t xml:space="preserve"/>
      </w:r>
    </w:p>
    <w:p>
      <w:pPr>
        <w:spacing w:after="140" w:before="0" w:line="276"/>
      </w:pPr>
      <w:r>
        <w:rPr>
          <w:rFonts w:ascii="Arial" w:cs="Arial" w:eastAsia="Arial" w:hAnsi="Arial"/>
          <w:color w:val="1E2733"/>
          <w:sz w:val="21"/>
          <w:szCs w:val="21"/>
        </w:rPr>
        <w:t xml:space="preserve">Thus, a distributor with a base Revenue Growth System payout of 55% could potentially earn up to 60% during that month — the maximum possible subscription commission under the architecture.</w:t>
      </w:r>
    </w:p>
    <w:p>
      <w:r>
        <w:br w:type="page"/>
      </w:r>
    </w:p>
    <w:p>
      <w:pPr>
        <w:spacing w:after="380"/>
      </w:pPr>
      <w:r>
        <w:rPr>
          <w:rFonts w:ascii="Arial" w:cs="Arial" w:eastAsia="Arial" w:hAnsi="Arial"/>
        </w:rPr>
        <w:t xml:space="preserve"/>
      </w:r>
    </w:p>
    <w:p>
      <w:pPr>
        <w:spacing w:after="0"/>
        <w:jc w:val="left"/>
      </w:pPr>
      <w:r>
        <w:rPr>
          <w:rFonts w:ascii="Arial" w:cs="Arial" w:eastAsia="Arial" w:hAnsi="Arial"/>
          <w:b/>
          <w:bCs/>
          <w:color w:val="9A7A28"/>
          <w:spacing w:val="60"/>
          <w:sz w:val="20"/>
          <w:szCs w:val="20"/>
        </w:rPr>
        <w:t xml:space="preserve">SECTION</w:t>
      </w:r>
    </w:p>
    <w:p>
      <w:pPr>
        <w:spacing w:after="60"/>
        <w:jc w:val="left"/>
      </w:pPr>
      <w:r>
        <w:rPr>
          <w:rFonts w:ascii="Georgia" w:cs="Georgia" w:eastAsia="Georgia" w:hAnsi="Georgia"/>
          <w:b/>
          <w:bCs/>
          <w:color w:val="16395C"/>
          <w:sz w:val="150"/>
          <w:szCs w:val="150"/>
        </w:rPr>
        <w:t xml:space="preserve">07</w:t>
      </w:r>
    </w:p>
    <w:p>
      <w:pPr>
        <w:pBdr>
          <w:bottom w:val="single" w:color="C9A23F" w:sz="20" w:space="10"/>
        </w:pBdr>
        <w:spacing w:after="160"/>
      </w:pPr>
      <w:r>
        <w:rPr>
          <w:rFonts w:ascii="Georgia" w:cs="Georgia" w:eastAsia="Georgia" w:hAnsi="Georgia"/>
          <w:b/>
          <w:bCs/>
          <w:color w:val="0C2438"/>
          <w:sz w:val="40"/>
          <w:szCs w:val="40"/>
        </w:rPr>
        <w:t xml:space="preserve">MCA Compensation Architecture</w:t>
      </w:r>
    </w:p>
    <w:p>
      <w:pPr>
        <w:spacing w:after="260"/>
      </w:pPr>
      <w:r>
        <w:rPr>
          <w:rFonts w:ascii="Arial" w:cs="Arial" w:eastAsia="Arial" w:hAnsi="Arial"/>
          <w:i/>
          <w:iCs/>
          <w:color w:val="2E6E9E"/>
          <w:sz w:val="24"/>
          <w:szCs w:val="24"/>
        </w:rPr>
        <w:t xml:space="preserve">Built on specialization — PMF owns capital infrastructure; LeaderShield owns distribution.</w:t>
      </w:r>
    </w:p>
    <w:p>
      <w:pPr>
        <w:spacing w:after="80" w:before="120"/>
      </w:pPr>
      <w:r>
        <w:rPr>
          <w:rFonts w:ascii="Arial" w:cs="Arial" w:eastAsia="Arial" w:hAnsi="Arial"/>
          <w:b/>
          <w:bCs/>
          <w:color w:val="5C6675"/>
          <w:spacing w:val="24"/>
          <w:sz w:val="16"/>
          <w:szCs w:val="16"/>
        </w:rPr>
        <w:t xml:space="preserve">IN THIS SECTION</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Economic philosophy &amp; gross commission allocation</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Opening agent pool &amp; producer models</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Downline structure &amp; accelerator pool</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Illustrative transaction waterfalls</w:t>
      </w:r>
    </w:p>
    <w:p>
      <w:r>
        <w:br w:type="page"/>
      </w:r>
    </w:p>
    <w:p>
      <w:pPr>
        <w:spacing w:after="200" w:line="300"/>
      </w:pPr>
      <w:r>
        <w:rPr>
          <w:rFonts w:ascii="Arial" w:cs="Arial" w:eastAsia="Arial" w:hAnsi="Arial"/>
          <w:color w:val="16395C"/>
          <w:sz w:val="23"/>
          <w:szCs w:val="23"/>
        </w:rPr>
        <w:t xml:space="preserve">LeaderShield's Merchant Cash Advance compensation architecture has been intentionally designed around the principle of specialization, which management believes creates superior economics, improved merchant outcomes, greater scalability, and reduced operational complexity.</w:t>
      </w:r>
    </w:p>
    <w:p>
      <w:pPr>
        <w:spacing w:after="140" w:before="0" w:line="276"/>
      </w:pPr>
      <w:r>
        <w:rPr>
          <w:rFonts w:ascii="Arial" w:cs="Arial" w:eastAsia="Arial" w:hAnsi="Arial"/>
          <w:color w:val="1E2733"/>
          <w:sz w:val="21"/>
          <w:szCs w:val="21"/>
        </w:rPr>
        <w:t xml:space="preserve">LeaderShield and PMF Premium Merchant Funding operate within clearly defined areas of responsibility. PMF specializes in capital infrastructure; LeaderShield specializes in distribution infrastructure. Each organization participates economically according to its respective role.</w:t>
      </w:r>
    </w:p>
    <w:p>
      <w:pPr>
        <w:keepNext/>
        <w:pBdr>
          <w:bottom w:val="single" w:color="C9A23F" w:sz="10" w:space="6"/>
        </w:pBdr>
        <w:spacing w:after="120" w:before="300"/>
      </w:pPr>
      <w:r>
        <w:rPr>
          <w:rFonts w:ascii="Arial" w:cs="Arial" w:eastAsia="Arial" w:hAnsi="Arial"/>
          <w:b/>
          <w:bCs/>
          <w:color w:val="16395C"/>
          <w:spacing w:val="14"/>
          <w:sz w:val="24"/>
          <w:szCs w:val="24"/>
        </w:rPr>
        <w:t xml:space="preserve">ECONOMIC PHILOSOPHY</w:t>
      </w:r>
    </w:p>
    <w:p>
      <w:pPr>
        <w:spacing w:after="140" w:before="0" w:line="276"/>
      </w:pPr>
      <w:r>
        <w:rPr>
          <w:rFonts w:ascii="Arial" w:cs="Arial" w:eastAsia="Arial" w:hAnsi="Arial"/>
          <w:color w:val="1E2733"/>
          <w:sz w:val="21"/>
          <w:szCs w:val="21"/>
        </w:rPr>
        <w:t xml:space="preserve">LeaderShield does not own the underwriting process, manage lender relationships, employ closing agents, or participate in funding operations. Those responsibilities remain entirely within PMF Premium Merchant Funding. LeaderShield's role is relationship acquisition and distribution — which management believes represents the most valuable activity performed by the platform. Accordingly, compensation structures emphasize opening activity.</w:t>
      </w:r>
    </w:p>
    <w:p>
      <w:pPr>
        <w:keepNext/>
        <w:pBdr>
          <w:bottom w:val="single" w:color="C9A23F" w:sz="10" w:space="6"/>
        </w:pBdr>
        <w:spacing w:after="120" w:before="300"/>
      </w:pPr>
      <w:r>
        <w:rPr>
          <w:rFonts w:ascii="Arial" w:cs="Arial" w:eastAsia="Arial" w:hAnsi="Arial"/>
          <w:b/>
          <w:bCs/>
          <w:color w:val="16395C"/>
          <w:spacing w:val="14"/>
          <w:sz w:val="24"/>
          <w:szCs w:val="24"/>
        </w:rPr>
        <w:t xml:space="preserve">GROSS COMMISSION ALLOCATION</w:t>
      </w:r>
    </w:p>
    <w:p>
      <w:pPr>
        <w:spacing w:after="140" w:before="0" w:line="276"/>
      </w:pPr>
      <w:r>
        <w:rPr>
          <w:rFonts w:ascii="Arial" w:cs="Arial" w:eastAsia="Arial" w:hAnsi="Arial"/>
          <w:color w:val="1E2733"/>
          <w:sz w:val="21"/>
          <w:szCs w:val="21"/>
        </w:rPr>
        <w:t xml:space="preserve">All percentages are expressed as a percentage of the total gross commission generated on a transaction: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tblHeader/>
        </w:trPr>
        <w:tc>
          <w:tcPr>
            <w:tcW w:type="dxa" w:w="560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left"/>
            </w:pPr>
            <w:r>
              <w:rPr>
                <w:rFonts w:ascii="Arial" w:cs="Arial" w:eastAsia="Arial" w:hAnsi="Arial"/>
                <w:b/>
                <w:bCs/>
                <w:color w:val="FFFFFF"/>
                <w:spacing w:val="6"/>
                <w:sz w:val="19"/>
                <w:szCs w:val="19"/>
              </w:rPr>
              <w:t xml:space="preserve">Allocation</w:t>
            </w:r>
          </w:p>
        </w:tc>
        <w:tc>
          <w:tcPr>
            <w:tcW w:type="dxa" w:w="376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center"/>
            </w:pPr>
            <w:r>
              <w:rPr>
                <w:rFonts w:ascii="Arial" w:cs="Arial" w:eastAsia="Arial" w:hAnsi="Arial"/>
                <w:b/>
                <w:bCs/>
                <w:color w:val="FFFFFF"/>
                <w:spacing w:val="6"/>
                <w:sz w:val="19"/>
                <w:szCs w:val="19"/>
              </w:rPr>
              <w:t xml:space="preserve">Percentage</w:t>
            </w:r>
          </w:p>
        </w:tc>
      </w:tr>
      <w:tr>
        <w:tc>
          <w:tcPr>
            <w:tcW w:type="dxa" w:w="56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PMF Premium Merchant Funding</w:t>
            </w:r>
          </w:p>
        </w:tc>
        <w:tc>
          <w:tcPr>
            <w:tcW w:type="dxa" w:w="376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50.0%</w:t>
            </w:r>
          </w:p>
        </w:tc>
      </w:tr>
      <w:tr>
        <w:tc>
          <w:tcPr>
            <w:tcW w:type="dxa" w:w="56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Opening Agent Pool</w:t>
            </w:r>
          </w:p>
        </w:tc>
        <w:tc>
          <w:tcPr>
            <w:tcW w:type="dxa" w:w="376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32.5%</w:t>
            </w:r>
          </w:p>
        </w:tc>
      </w:tr>
      <w:tr>
        <w:tc>
          <w:tcPr>
            <w:tcW w:type="dxa" w:w="56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Performance Accelerator Pool</w:t>
            </w:r>
          </w:p>
        </w:tc>
        <w:tc>
          <w:tcPr>
            <w:tcW w:type="dxa" w:w="376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2.5%</w:t>
            </w:r>
          </w:p>
        </w:tc>
      </w:tr>
      <w:tr>
        <w:tc>
          <w:tcPr>
            <w:tcW w:type="dxa" w:w="56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LeaderShield Contribution EBITDA</w:t>
            </w:r>
          </w:p>
        </w:tc>
        <w:tc>
          <w:tcPr>
            <w:tcW w:type="dxa" w:w="376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15.0%</w:t>
            </w:r>
          </w:p>
        </w:tc>
      </w:tr>
      <w:tr>
        <w:tc>
          <w:tcPr>
            <w:tcW w:type="dxa" w:w="56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9A7A28"/>
                <w:sz w:val="20"/>
                <w:szCs w:val="20"/>
              </w:rPr>
              <w:t xml:space="preserve">Total</w:t>
            </w:r>
          </w:p>
        </w:tc>
        <w:tc>
          <w:tcPr>
            <w:tcW w:type="dxa" w:w="376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bCs/>
                <w:color w:val="9A7A28"/>
                <w:sz w:val="20"/>
                <w:szCs w:val="20"/>
              </w:rPr>
              <w:t xml:space="preserve">100.0%</w:t>
            </w:r>
          </w:p>
        </w:tc>
      </w:tr>
    </w:tbl>
    <w:p>
      <w:pPr>
        <w:spacing w:after="40"/>
      </w:pPr>
      <w:r>
        <w:rPr>
          <w:rFonts w:ascii="Arial" w:cs="Arial" w:eastAsia="Arial" w:hAnsi="Arial"/>
        </w:rPr>
        <w:t xml:space="preserve"/>
      </w:r>
    </w:p>
    <w:p>
      <w:pPr>
        <w:spacing w:after="140" w:before="0" w:line="276"/>
      </w:pPr>
      <w:r>
        <w:rPr>
          <w:rFonts w:ascii="Arial" w:cs="Arial" w:eastAsia="Arial" w:hAnsi="Arial"/>
          <w:color w:val="1E2733"/>
          <w:sz w:val="21"/>
          <w:szCs w:val="21"/>
        </w:rPr>
        <w:t xml:space="preserve">PMF receives 50% of the gross commission and is responsible for underwriting, funding relationships, closing agents, processing, capital infrastructure, and operational execution. LeaderShield does not participate in or compensate closing agents; those economics remain entirely within PMF's share.</w:t>
      </w:r>
    </w:p>
    <w:p>
      <w:pPr>
        <w:keepNext/>
        <w:pBdr>
          <w:bottom w:val="single" w:color="C9A23F" w:sz="10" w:space="6"/>
        </w:pBdr>
        <w:spacing w:after="120" w:before="300"/>
      </w:pPr>
      <w:r>
        <w:rPr>
          <w:rFonts w:ascii="Arial" w:cs="Arial" w:eastAsia="Arial" w:hAnsi="Arial"/>
          <w:b/>
          <w:bCs/>
          <w:color w:val="16395C"/>
          <w:spacing w:val="14"/>
          <w:sz w:val="24"/>
          <w:szCs w:val="24"/>
        </w:rPr>
        <w:t xml:space="preserve">OPENING AGENT POOL</w:t>
      </w:r>
    </w:p>
    <w:p>
      <w:pPr>
        <w:spacing w:after="140" w:before="0" w:line="276"/>
      </w:pPr>
      <w:r>
        <w:rPr>
          <w:rFonts w:ascii="Arial" w:cs="Arial" w:eastAsia="Arial" w:hAnsi="Arial"/>
          <w:color w:val="1E2733"/>
          <w:sz w:val="21"/>
          <w:szCs w:val="21"/>
        </w:rPr>
        <w:t xml:space="preserve">The Opening Agent Pool represents </w:t>
      </w:r>
      <w:r>
        <w:rPr>
          <w:rFonts w:ascii="Arial" w:cs="Arial" w:eastAsia="Arial" w:hAnsi="Arial"/>
          <w:b/>
          <w:bCs/>
          <w:color w:val="0C2438"/>
          <w:sz w:val="21"/>
          <w:szCs w:val="21"/>
        </w:rPr>
        <w:t xml:space="preserve">32.5%</w:t>
      </w:r>
      <w:r>
        <w:rPr>
          <w:rFonts w:ascii="Arial" w:cs="Arial" w:eastAsia="Arial" w:hAnsi="Arial"/>
          <w:color w:val="1E2733"/>
          <w:sz w:val="21"/>
          <w:szCs w:val="21"/>
        </w:rPr>
        <w:t xml:space="preserve"> of the total gross commission. Management believes relationship acquisition represents the primary value contributed by LeaderShield, so opening activity receives the greatest compensation emphasis.</w:t>
      </w:r>
    </w:p>
    <w:p>
      <w:pPr>
        <w:spacing w:after="140" w:before="0" w:line="276"/>
      </w:pPr>
      <w:r>
        <w:rPr>
          <w:rFonts w:ascii="Arial" w:cs="Arial" w:eastAsia="Arial" w:hAnsi="Arial"/>
          <w:color w:val="1E2733"/>
          <w:sz w:val="21"/>
          <w:szCs w:val="21"/>
        </w:rPr>
        <w:t xml:space="preserve">The Opening Pool includes independent producers, agency organizations, override structures, and three-level organizations. Agency compensation is included within the pool and does not increase total payout.</w:t>
      </w:r>
    </w:p>
    <w:p>
      <w:pPr>
        <w:keepNext/>
        <w:spacing w:after="70" w:before="200"/>
      </w:pPr>
      <w:r>
        <w:rPr>
          <w:rFonts w:ascii="Arial" w:cs="Arial" w:eastAsia="Arial" w:hAnsi="Arial"/>
          <w:b/>
          <w:bCs/>
          <w:color w:val="C9A23F"/>
          <w:sz w:val="22"/>
          <w:szCs w:val="22"/>
        </w:rPr>
        <w:t xml:space="preserve">▍ </w:t>
      </w:r>
      <w:r>
        <w:rPr>
          <w:rFonts w:ascii="Arial" w:cs="Arial" w:eastAsia="Arial" w:hAnsi="Arial"/>
          <w:b/>
          <w:bCs/>
          <w:color w:val="0C2438"/>
          <w:sz w:val="22"/>
          <w:szCs w:val="22"/>
        </w:rPr>
        <w:t xml:space="preserve">Producer &amp; Agency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890"/>
        <w:gridCol w:w="1890"/>
        <w:gridCol w:w="1880"/>
      </w:tblGrid>
      <w:tr>
        <w:trPr>
          <w:tblHeader/>
        </w:trPr>
        <w:tc>
          <w:tcPr>
            <w:tcW w:type="dxa" w:w="370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left"/>
            </w:pPr>
            <w:r>
              <w:rPr>
                <w:rFonts w:ascii="Arial" w:cs="Arial" w:eastAsia="Arial" w:hAnsi="Arial"/>
                <w:b/>
                <w:bCs/>
                <w:color w:val="FFFFFF"/>
                <w:spacing w:val="6"/>
                <w:sz w:val="19"/>
                <w:szCs w:val="19"/>
              </w:rPr>
              <w:t xml:space="preserve">Model</w:t>
            </w:r>
          </w:p>
        </w:tc>
        <w:tc>
          <w:tcPr>
            <w:tcW w:type="dxa" w:w="189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center"/>
            </w:pPr>
            <w:r>
              <w:rPr>
                <w:rFonts w:ascii="Arial" w:cs="Arial" w:eastAsia="Arial" w:hAnsi="Arial"/>
                <w:b/>
                <w:bCs/>
                <w:color w:val="FFFFFF"/>
                <w:spacing w:val="6"/>
                <w:sz w:val="19"/>
                <w:szCs w:val="19"/>
              </w:rPr>
              <w:t xml:space="preserve">Producer</w:t>
            </w:r>
          </w:p>
        </w:tc>
        <w:tc>
          <w:tcPr>
            <w:tcW w:type="dxa" w:w="189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center"/>
            </w:pPr>
            <w:r>
              <w:rPr>
                <w:rFonts w:ascii="Arial" w:cs="Arial" w:eastAsia="Arial" w:hAnsi="Arial"/>
                <w:b/>
                <w:bCs/>
                <w:color w:val="FFFFFF"/>
                <w:spacing w:val="6"/>
                <w:sz w:val="19"/>
                <w:szCs w:val="19"/>
              </w:rPr>
              <w:t xml:space="preserve">Agency</w:t>
            </w:r>
          </w:p>
        </w:tc>
        <w:tc>
          <w:tcPr>
            <w:tcW w:type="dxa" w:w="188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center"/>
            </w:pPr>
            <w:r>
              <w:rPr>
                <w:rFonts w:ascii="Arial" w:cs="Arial" w:eastAsia="Arial" w:hAnsi="Arial"/>
                <w:b/>
                <w:bCs/>
                <w:color w:val="FFFFFF"/>
                <w:spacing w:val="6"/>
                <w:sz w:val="19"/>
                <w:szCs w:val="19"/>
              </w:rPr>
              <w:t xml:space="preserve">Combined</w:t>
            </w:r>
          </w:p>
        </w:tc>
      </w:tr>
      <w:tr>
        <w:tc>
          <w:tcPr>
            <w:tcW w:type="dxa" w:w="37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Independent Producer</w:t>
            </w:r>
          </w:p>
        </w:tc>
        <w:tc>
          <w:tcPr>
            <w:tcW w:type="dxa" w:w="189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32.5%</w:t>
            </w:r>
          </w:p>
        </w:tc>
        <w:tc>
          <w:tcPr>
            <w:tcW w:type="dxa" w:w="189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0.0%</w:t>
            </w:r>
          </w:p>
        </w:tc>
        <w:tc>
          <w:tcPr>
            <w:tcW w:type="dxa" w:w="188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32.5%</w:t>
            </w:r>
          </w:p>
        </w:tc>
      </w:tr>
      <w:tr>
        <w:tc>
          <w:tcPr>
            <w:tcW w:type="dxa" w:w="37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Small Agency</w:t>
            </w:r>
          </w:p>
        </w:tc>
        <w:tc>
          <w:tcPr>
            <w:tcW w:type="dxa" w:w="189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29.5%</w:t>
            </w:r>
          </w:p>
        </w:tc>
        <w:tc>
          <w:tcPr>
            <w:tcW w:type="dxa" w:w="189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3.0%</w:t>
            </w:r>
          </w:p>
        </w:tc>
        <w:tc>
          <w:tcPr>
            <w:tcW w:type="dxa" w:w="188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32.5%</w:t>
            </w:r>
          </w:p>
        </w:tc>
      </w:tr>
      <w:tr>
        <w:tc>
          <w:tcPr>
            <w:tcW w:type="dxa" w:w="37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Leadership Organization</w:t>
            </w:r>
          </w:p>
        </w:tc>
        <w:tc>
          <w:tcPr>
            <w:tcW w:type="dxa" w:w="189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27.5%</w:t>
            </w:r>
          </w:p>
        </w:tc>
        <w:tc>
          <w:tcPr>
            <w:tcW w:type="dxa" w:w="189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5.0%</w:t>
            </w:r>
          </w:p>
        </w:tc>
        <w:tc>
          <w:tcPr>
            <w:tcW w:type="dxa" w:w="188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32.5%</w:t>
            </w:r>
          </w:p>
        </w:tc>
      </w:tr>
      <w:tr>
        <w:tc>
          <w:tcPr>
            <w:tcW w:type="dxa" w:w="37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Large Recruiting Organization</w:t>
            </w:r>
          </w:p>
        </w:tc>
        <w:tc>
          <w:tcPr>
            <w:tcW w:type="dxa" w:w="189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24.5%</w:t>
            </w:r>
          </w:p>
        </w:tc>
        <w:tc>
          <w:tcPr>
            <w:tcW w:type="dxa" w:w="189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8.0%</w:t>
            </w:r>
          </w:p>
        </w:tc>
        <w:tc>
          <w:tcPr>
            <w:tcW w:type="dxa" w:w="188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32.5%</w:t>
            </w:r>
          </w:p>
        </w:tc>
      </w:tr>
    </w:tbl>
    <w:p>
      <w:pPr>
        <w:spacing w:after="40"/>
      </w:pPr>
      <w:r>
        <w:rPr>
          <w:rFonts w:ascii="Arial" w:cs="Arial" w:eastAsia="Arial" w:hAnsi="Arial"/>
        </w:rPr>
        <w:t xml:space="preserve"/>
      </w:r>
    </w:p>
    <w:p>
      <w:pPr>
        <w:keepNext/>
        <w:spacing w:after="70" w:before="200"/>
      </w:pPr>
      <w:r>
        <w:rPr>
          <w:rFonts w:ascii="Arial" w:cs="Arial" w:eastAsia="Arial" w:hAnsi="Arial"/>
          <w:b/>
          <w:bCs/>
          <w:color w:val="C9A23F"/>
          <w:sz w:val="22"/>
          <w:szCs w:val="22"/>
        </w:rPr>
        <w:t xml:space="preserve">▍ </w:t>
      </w:r>
      <w:r>
        <w:rPr>
          <w:rFonts w:ascii="Arial" w:cs="Arial" w:eastAsia="Arial" w:hAnsi="Arial"/>
          <w:b/>
          <w:bCs/>
          <w:color w:val="0C2438"/>
          <w:sz w:val="22"/>
          <w:szCs w:val="22"/>
        </w:rPr>
        <w:t xml:space="preserve">Downline Structure</w:t>
      </w:r>
    </w:p>
    <w:p>
      <w:pPr>
        <w:spacing w:after="140" w:before="0" w:line="276"/>
      </w:pPr>
      <w:r>
        <w:rPr>
          <w:rFonts w:ascii="Arial" w:cs="Arial" w:eastAsia="Arial" w:hAnsi="Arial"/>
          <w:color w:val="1E2733"/>
          <w:sz w:val="21"/>
          <w:szCs w:val="21"/>
        </w:rPr>
        <w:t xml:space="preserve">Maximum depth is three levels. Management intentionally places the greatest emphasis on direct production. The following weighting applies to the producer portion: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rPr>
          <w:tblHeader/>
        </w:trPr>
        <w:tc>
          <w:tcPr>
            <w:tcW w:type="dxa" w:w="620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left"/>
            </w:pPr>
            <w:r>
              <w:rPr>
                <w:rFonts w:ascii="Arial" w:cs="Arial" w:eastAsia="Arial" w:hAnsi="Arial"/>
                <w:b/>
                <w:bCs/>
                <w:color w:val="FFFFFF"/>
                <w:spacing w:val="6"/>
                <w:sz w:val="19"/>
                <w:szCs w:val="19"/>
              </w:rPr>
              <w:t xml:space="preserve">Level</w:t>
            </w:r>
          </w:p>
        </w:tc>
        <w:tc>
          <w:tcPr>
            <w:tcW w:type="dxa" w:w="316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center"/>
            </w:pPr>
            <w:r>
              <w:rPr>
                <w:rFonts w:ascii="Arial" w:cs="Arial" w:eastAsia="Arial" w:hAnsi="Arial"/>
                <w:b/>
                <w:bCs/>
                <w:color w:val="FFFFFF"/>
                <w:spacing w:val="6"/>
                <w:sz w:val="19"/>
                <w:szCs w:val="19"/>
              </w:rPr>
              <w:t xml:space="preserve">Weighting</w:t>
            </w:r>
          </w:p>
        </w:tc>
      </w:tr>
      <w:tr>
        <w:tc>
          <w:tcPr>
            <w:tcW w:type="dxa" w:w="62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Level One</w:t>
            </w:r>
          </w:p>
        </w:tc>
        <w:tc>
          <w:tcPr>
            <w:tcW w:type="dxa" w:w="316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80%</w:t>
            </w:r>
          </w:p>
        </w:tc>
      </w:tr>
      <w:tr>
        <w:tc>
          <w:tcPr>
            <w:tcW w:type="dxa" w:w="62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Level Two</w:t>
            </w:r>
          </w:p>
        </w:tc>
        <w:tc>
          <w:tcPr>
            <w:tcW w:type="dxa" w:w="316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15%</w:t>
            </w:r>
          </w:p>
        </w:tc>
      </w:tr>
      <w:tr>
        <w:tc>
          <w:tcPr>
            <w:tcW w:type="dxa" w:w="62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Level Three</w:t>
            </w:r>
          </w:p>
        </w:tc>
        <w:tc>
          <w:tcPr>
            <w:tcW w:type="dxa" w:w="316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5%</w:t>
            </w:r>
          </w:p>
        </w:tc>
      </w:tr>
    </w:tbl>
    <w:p>
      <w:pPr>
        <w:spacing w:after="40"/>
      </w:pPr>
      <w:r>
        <w:rPr>
          <w:rFonts w:ascii="Arial" w:cs="Arial" w:eastAsia="Arial" w:hAnsi="Arial"/>
        </w:rPr>
        <w:t xml:space="preserve"/>
      </w:r>
    </w:p>
    <w:p>
      <w:pPr>
        <w:keepNext/>
        <w:pBdr>
          <w:bottom w:val="single" w:color="C9A23F" w:sz="10" w:space="6"/>
        </w:pBdr>
        <w:spacing w:after="120" w:before="300"/>
      </w:pPr>
      <w:r>
        <w:rPr>
          <w:rFonts w:ascii="Arial" w:cs="Arial" w:eastAsia="Arial" w:hAnsi="Arial"/>
          <w:b/>
          <w:bCs/>
          <w:color w:val="16395C"/>
          <w:spacing w:val="14"/>
          <w:sz w:val="24"/>
          <w:szCs w:val="24"/>
        </w:rPr>
        <w:t xml:space="preserve">PERFORMANCE ACCELERATOR POOL</w:t>
      </w:r>
    </w:p>
    <w:p>
      <w:pPr>
        <w:spacing w:after="140" w:before="0" w:line="276"/>
      </w:pPr>
      <w:r>
        <w:rPr>
          <w:rFonts w:ascii="Arial" w:cs="Arial" w:eastAsia="Arial" w:hAnsi="Arial"/>
          <w:color w:val="1E2733"/>
          <w:sz w:val="21"/>
          <w:szCs w:val="21"/>
        </w:rPr>
        <w:t xml:space="preserve">A separate performance pool equal to </w:t>
      </w:r>
      <w:r>
        <w:rPr>
          <w:rFonts w:ascii="Arial" w:cs="Arial" w:eastAsia="Arial" w:hAnsi="Arial"/>
          <w:b/>
          <w:bCs/>
          <w:color w:val="0C2438"/>
          <w:sz w:val="21"/>
          <w:szCs w:val="21"/>
        </w:rPr>
        <w:t xml:space="preserve">2.5%</w:t>
      </w:r>
      <w:r>
        <w:rPr>
          <w:rFonts w:ascii="Arial" w:cs="Arial" w:eastAsia="Arial" w:hAnsi="Arial"/>
          <w:color w:val="1E2733"/>
          <w:sz w:val="21"/>
          <w:szCs w:val="21"/>
        </w:rPr>
        <w:t xml:space="preserve"> of total gross commissions exists outside the opening pool. Performance incentives are paid monthly, recalculated monthly, non-vested, and subject to modification.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rPr>
          <w:tblHeader/>
        </w:trPr>
        <w:tc>
          <w:tcPr>
            <w:tcW w:type="dxa" w:w="620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left"/>
            </w:pPr>
            <w:r>
              <w:rPr>
                <w:rFonts w:ascii="Arial" w:cs="Arial" w:eastAsia="Arial" w:hAnsi="Arial"/>
                <w:b/>
                <w:bCs/>
                <w:color w:val="FFFFFF"/>
                <w:spacing w:val="6"/>
                <w:sz w:val="19"/>
                <w:szCs w:val="19"/>
              </w:rPr>
              <w:t xml:space="preserve">MCA Accelerator</w:t>
            </w:r>
          </w:p>
        </w:tc>
        <w:tc>
          <w:tcPr>
            <w:tcW w:type="dxa" w:w="316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left"/>
            </w:pPr>
            <w:r>
              <w:rPr>
                <w:rFonts w:ascii="Arial" w:cs="Arial" w:eastAsia="Arial" w:hAnsi="Arial"/>
                <w:b/>
                <w:bCs/>
                <w:color w:val="FFFFFF"/>
                <w:spacing w:val="6"/>
                <w:sz w:val="19"/>
                <w:szCs w:val="19"/>
              </w:rPr>
              <w:t xml:space="preserve">Bonus</w:t>
            </w:r>
          </w:p>
        </w:tc>
      </w:tr>
      <w:tr>
        <w:tc>
          <w:tcPr>
            <w:tcW w:type="dxa" w:w="62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Volume Accelerator</w:t>
            </w:r>
          </w:p>
        </w:tc>
        <w:tc>
          <w:tcPr>
            <w:tcW w:type="dxa" w:w="316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+1.0%</w:t>
            </w:r>
          </w:p>
        </w:tc>
      </w:tr>
      <w:tr>
        <w:tc>
          <w:tcPr>
            <w:tcW w:type="dxa" w:w="62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Subscription Attachment Accelerator</w:t>
            </w:r>
          </w:p>
        </w:tc>
        <w:tc>
          <w:tcPr>
            <w:tcW w:type="dxa" w:w="316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+1.0%</w:t>
            </w:r>
          </w:p>
        </w:tc>
      </w:tr>
      <w:tr>
        <w:tc>
          <w:tcPr>
            <w:tcW w:type="dxa" w:w="62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Product Penetration Accelerator</w:t>
            </w:r>
          </w:p>
        </w:tc>
        <w:tc>
          <w:tcPr>
            <w:tcW w:type="dxa" w:w="316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+1.0%</w:t>
            </w:r>
          </w:p>
        </w:tc>
      </w:tr>
      <w:tr>
        <w:tc>
          <w:tcPr>
            <w:tcW w:type="dxa" w:w="62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Repeat Merchant Accelerator</w:t>
            </w:r>
          </w:p>
        </w:tc>
        <w:tc>
          <w:tcPr>
            <w:tcW w:type="dxa" w:w="316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+1.0%</w:t>
            </w:r>
          </w:p>
        </w:tc>
      </w:tr>
      <w:tr>
        <w:tc>
          <w:tcPr>
            <w:tcW w:type="dxa" w:w="62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9A7A28"/>
                <w:sz w:val="20"/>
                <w:szCs w:val="20"/>
              </w:rPr>
              <w:t xml:space="preserve">Maximum Monthly Enhancement</w:t>
            </w:r>
          </w:p>
        </w:tc>
        <w:tc>
          <w:tcPr>
            <w:tcW w:type="dxa" w:w="316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9A7A28"/>
                <w:sz w:val="20"/>
                <w:szCs w:val="20"/>
              </w:rPr>
              <w:t xml:space="preserve">+2.5%</w:t>
            </w:r>
          </w:p>
        </w:tc>
      </w:tr>
    </w:tbl>
    <w:p>
      <w:pPr>
        <w:spacing w:after="50"/>
      </w:pPr>
      <w:r>
        <w:rPr>
          <w:rFonts w:ascii="Arial" w:cs="Arial" w:eastAsia="Arial" w:hAnsi="Arial"/>
        </w:rPr>
        <w:t xml:space="preserve"/>
      </w:r>
    </w:p>
    <w:p>
      <w:pPr>
        <w:keepNext/>
        <w:pBdr>
          <w:bottom w:val="single" w:color="C9A23F" w:sz="10" w:space="6"/>
        </w:pBdr>
        <w:spacing w:after="120" w:before="300"/>
      </w:pPr>
      <w:r>
        <w:rPr>
          <w:rFonts w:ascii="Arial" w:cs="Arial" w:eastAsia="Arial" w:hAnsi="Arial"/>
          <w:b/>
          <w:bCs/>
          <w:color w:val="16395C"/>
          <w:spacing w:val="14"/>
          <w:sz w:val="24"/>
          <w:szCs w:val="24"/>
        </w:rPr>
        <w:t xml:space="preserve">ILLUSTRATIVE TRANSACTION — $100,000 FUNDING</w:t>
      </w:r>
    </w:p>
    <w:p>
      <w:pPr>
        <w:spacing w:after="140" w:before="0" w:line="276"/>
      </w:pPr>
      <w:r>
        <w:rPr>
          <w:rFonts w:ascii="Arial" w:cs="Arial" w:eastAsia="Arial" w:hAnsi="Arial"/>
          <w:color w:val="1E2733"/>
          <w:sz w:val="21"/>
          <w:szCs w:val="21"/>
        </w:rPr>
        <w:t xml:space="preserve">Industry-standard MCA commissions typically range between 10% and 15%. For modeling purposes, management assumes a total gross commission of 12%, producing a $12,000 gross commission on a $100,000 funding.</w:t>
      </w:r>
    </w:p>
    <w:tbl>
      <w:tblPr>
        <w:tblW w:type="dxa" w:w="9360"/>
        <w:tblBorders>
          <w:top w:val="single" w:color="C9A23F" w:sz="4"/>
          <w:left w:val="single" w:color="C9A23F" w:sz="4"/>
          <w:bottom w:val="single" w:color="C9A23F" w:sz="4"/>
          <w:right w:val="single" w:color="C9A23F" w:sz="4"/>
          <w:insideH w:val="single" w:color="auto" w:sz="4"/>
          <w:insideV w:val="single" w:color="auto" w:sz="4"/>
        </w:tblBorders>
      </w:tblPr>
      <w:tblGrid>
        <w:gridCol w:w="9360"/>
      </w:tblGrid>
      <w:tr>
        <w:tc>
          <w:tcPr>
            <w:tcW w:type="dxa" w:w="9360"/>
            <w:shd w:fill="16395C" w:val="clear"/>
            <w:tcMar>
              <w:top w:type="dxa" w:w="130"/>
              <w:left w:type="dxa" w:w="200"/>
              <w:bottom w:type="dxa" w:w="130"/>
              <w:right w:type="dxa" w:w="200"/>
            </w:tcMar>
            <w:vAlign w:val="center"/>
          </w:tcPr>
          <w:p>
            <w:pPr>
              <w:spacing w:after="0"/>
              <w:jc w:val="center"/>
            </w:pPr>
            <w:r>
              <w:rPr>
                <w:rFonts w:ascii="Arial" w:cs="Arial" w:eastAsia="Arial" w:hAnsi="Arial"/>
                <w:b/>
                <w:bCs/>
                <w:color w:val="C9A23F"/>
                <w:spacing w:val="20"/>
                <w:sz w:val="18"/>
                <w:szCs w:val="18"/>
              </w:rPr>
              <w:t xml:space="preserve">GROSS COMMISSION (12% OF $100,000)   </w:t>
            </w:r>
            <w:r>
              <w:rPr>
                <w:rFonts w:ascii="Georgia" w:cs="Georgia" w:eastAsia="Georgia" w:hAnsi="Georgia"/>
                <w:b/>
                <w:bCs/>
                <w:color w:val="FFFFFF"/>
                <w:sz w:val="40"/>
                <w:szCs w:val="40"/>
              </w:rPr>
              <w:t xml:space="preserve">$12,000</w:t>
            </w:r>
          </w:p>
        </w:tc>
      </w:tr>
    </w:tbl>
    <w:p>
      <w:pPr>
        <w:spacing w:after="20"/>
      </w:pPr>
      <w:r>
        <w:rPr>
          <w:rFonts w:ascii="Arial" w:cs="Arial" w:eastAsia="Arial" w:hAnsi="Arial"/>
        </w:rPr>
        <w:t xml:space="preserve"/>
      </w:r>
    </w:p>
    <w:p>
      <w:pPr>
        <w:spacing w:after="140" w:before="0" w:line="276"/>
      </w:pPr>
      <w:r>
        <w:rPr>
          <w:rFonts w:ascii="Arial" w:cs="Arial" w:eastAsia="Arial" w:hAnsi="Arial"/>
          <w:color w:val="1E2733"/>
          <w:sz w:val="21"/>
          <w:szCs w:val="21"/>
        </w:rPr>
        <w:t xml:space="preserve">The resulting economic waterfall: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60"/>
      </w:tblGrid>
      <w:tr>
        <w:trPr>
          <w:tblHeader/>
        </w:trPr>
        <w:tc>
          <w:tcPr>
            <w:tcW w:type="dxa" w:w="420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left"/>
            </w:pPr>
            <w:r>
              <w:rPr>
                <w:rFonts w:ascii="Arial" w:cs="Arial" w:eastAsia="Arial" w:hAnsi="Arial"/>
                <w:b/>
                <w:bCs/>
                <w:color w:val="FFFFFF"/>
                <w:spacing w:val="6"/>
                <w:sz w:val="19"/>
                <w:szCs w:val="19"/>
              </w:rPr>
              <w:t xml:space="preserve">Recipient</w:t>
            </w:r>
          </w:p>
        </w:tc>
        <w:tc>
          <w:tcPr>
            <w:tcW w:type="dxa" w:w="240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center"/>
            </w:pPr>
            <w:r>
              <w:rPr>
                <w:rFonts w:ascii="Arial" w:cs="Arial" w:eastAsia="Arial" w:hAnsi="Arial"/>
                <w:b/>
                <w:bCs/>
                <w:color w:val="FFFFFF"/>
                <w:spacing w:val="6"/>
                <w:sz w:val="19"/>
                <w:szCs w:val="19"/>
              </w:rPr>
              <w:t xml:space="preserve">Percentage</w:t>
            </w:r>
          </w:p>
        </w:tc>
        <w:tc>
          <w:tcPr>
            <w:tcW w:type="dxa" w:w="276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center"/>
            </w:pPr>
            <w:r>
              <w:rPr>
                <w:rFonts w:ascii="Arial" w:cs="Arial" w:eastAsia="Arial" w:hAnsi="Arial"/>
                <w:b/>
                <w:bCs/>
                <w:color w:val="FFFFFF"/>
                <w:spacing w:val="6"/>
                <w:sz w:val="19"/>
                <w:szCs w:val="19"/>
              </w:rPr>
              <w:t xml:space="preserve">Amount</w:t>
            </w:r>
          </w:p>
        </w:tc>
      </w:tr>
      <w:tr>
        <w:tc>
          <w:tcPr>
            <w:tcW w:type="dxa" w:w="42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PMF Premium Merchant Funding</w:t>
            </w:r>
          </w:p>
        </w:tc>
        <w:tc>
          <w:tcPr>
            <w:tcW w:type="dxa" w:w="24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50.0%</w:t>
            </w:r>
          </w:p>
        </w:tc>
        <w:tc>
          <w:tcPr>
            <w:tcW w:type="dxa" w:w="276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$6,000</w:t>
            </w:r>
          </w:p>
        </w:tc>
      </w:tr>
      <w:tr>
        <w:tc>
          <w:tcPr>
            <w:tcW w:type="dxa" w:w="42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Opening Agent Pool</w:t>
            </w:r>
          </w:p>
        </w:tc>
        <w:tc>
          <w:tcPr>
            <w:tcW w:type="dxa" w:w="24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32.5%</w:t>
            </w:r>
          </w:p>
        </w:tc>
        <w:tc>
          <w:tcPr>
            <w:tcW w:type="dxa" w:w="276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$3,900</w:t>
            </w:r>
          </w:p>
        </w:tc>
      </w:tr>
      <w:tr>
        <w:tc>
          <w:tcPr>
            <w:tcW w:type="dxa" w:w="42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Performance Accelerator Pool</w:t>
            </w:r>
          </w:p>
        </w:tc>
        <w:tc>
          <w:tcPr>
            <w:tcW w:type="dxa" w:w="24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2.5%</w:t>
            </w:r>
          </w:p>
        </w:tc>
        <w:tc>
          <w:tcPr>
            <w:tcW w:type="dxa" w:w="276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$300</w:t>
            </w:r>
          </w:p>
        </w:tc>
      </w:tr>
      <w:tr>
        <w:tc>
          <w:tcPr>
            <w:tcW w:type="dxa" w:w="42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LeaderShield Contribution EBITDA</w:t>
            </w:r>
          </w:p>
        </w:tc>
        <w:tc>
          <w:tcPr>
            <w:tcW w:type="dxa" w:w="24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15.0%</w:t>
            </w:r>
          </w:p>
        </w:tc>
        <w:tc>
          <w:tcPr>
            <w:tcW w:type="dxa" w:w="276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$1,800</w:t>
            </w:r>
          </w:p>
        </w:tc>
      </w:tr>
      <w:tr>
        <w:tc>
          <w:tcPr>
            <w:tcW w:type="dxa" w:w="42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9A7A28"/>
                <w:sz w:val="20"/>
                <w:szCs w:val="20"/>
              </w:rPr>
              <w:t xml:space="preserve">Total Gross Commission</w:t>
            </w:r>
          </w:p>
        </w:tc>
        <w:tc>
          <w:tcPr>
            <w:tcW w:type="dxa" w:w="24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bCs/>
                <w:color w:val="9A7A28"/>
                <w:sz w:val="20"/>
                <w:szCs w:val="20"/>
              </w:rPr>
              <w:t xml:space="preserve">100.0%</w:t>
            </w:r>
          </w:p>
        </w:tc>
        <w:tc>
          <w:tcPr>
            <w:tcW w:type="dxa" w:w="276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bCs/>
                <w:color w:val="9A7A28"/>
                <w:sz w:val="20"/>
                <w:szCs w:val="20"/>
              </w:rPr>
              <w:t xml:space="preserve">$12,000</w:t>
            </w:r>
          </w:p>
        </w:tc>
      </w:tr>
    </w:tbl>
    <w:p>
      <w:pPr>
        <w:spacing w:after="40"/>
      </w:pPr>
      <w:r>
        <w:rPr>
          <w:rFonts w:ascii="Arial" w:cs="Arial" w:eastAsia="Arial" w:hAnsi="Arial"/>
        </w:rPr>
        <w:t xml:space="preserve"/>
      </w:r>
    </w:p>
    <w:p>
      <w:pPr>
        <w:keepNext/>
        <w:spacing w:after="70" w:before="200"/>
      </w:pPr>
      <w:r>
        <w:rPr>
          <w:rFonts w:ascii="Arial" w:cs="Arial" w:eastAsia="Arial" w:hAnsi="Arial"/>
          <w:b/>
          <w:bCs/>
          <w:color w:val="C9A23F"/>
          <w:sz w:val="22"/>
          <w:szCs w:val="22"/>
        </w:rPr>
        <w:t xml:space="preserve">▍ </w:t>
      </w:r>
      <w:r>
        <w:rPr>
          <w:rFonts w:ascii="Arial" w:cs="Arial" w:eastAsia="Arial" w:hAnsi="Arial"/>
          <w:b/>
          <w:bCs/>
          <w:color w:val="0C2438"/>
          <w:sz w:val="22"/>
          <w:szCs w:val="22"/>
        </w:rPr>
        <w:t xml:space="preserve">Independent Producer Example</w:t>
      </w:r>
    </w:p>
    <w:p>
      <w:pPr>
        <w:spacing w:after="140" w:before="0" w:line="276"/>
      </w:pPr>
      <w:r>
        <w:rPr>
          <w:rFonts w:ascii="Arial" w:cs="Arial" w:eastAsia="Arial" w:hAnsi="Arial"/>
          <w:color w:val="1E2733"/>
          <w:sz w:val="21"/>
          <w:szCs w:val="21"/>
        </w:rPr>
        <w:t xml:space="preserve">On the same $100,000 funding, an independent producer participates in the full opening pool of $3,900 plus a performance-pool opportunity of $300.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9A23F" w:sz="6"/>
              <w:left w:val="single" w:color="0C2438" w:sz="2"/>
              <w:bottom w:val="single" w:color="C9A23F" w:sz="6"/>
              <w:right w:val="single" w:color="0C2438" w:sz="2"/>
            </w:tcBorders>
            <w:shd w:fill="16395C" w:val="clear"/>
            <w:tcMar>
              <w:top w:type="dxa" w:w="120"/>
              <w:left w:type="dxa" w:w="80"/>
              <w:bottom w:type="dxa" w:w="120"/>
              <w:right w:type="dxa" w:w="80"/>
            </w:tcMar>
            <w:vAlign w:val="center"/>
          </w:tcPr>
          <w:p>
            <w:pPr>
              <w:spacing w:after="30"/>
              <w:jc w:val="center"/>
            </w:pPr>
            <w:r>
              <w:rPr>
                <w:rFonts w:ascii="Georgia" w:cs="Georgia" w:eastAsia="Georgia" w:hAnsi="Georgia"/>
                <w:b/>
                <w:bCs/>
                <w:color w:val="C9A23F"/>
                <w:sz w:val="32"/>
                <w:szCs w:val="32"/>
              </w:rPr>
              <w:t xml:space="preserve">$4,200</w:t>
            </w:r>
          </w:p>
          <w:p>
            <w:pPr>
              <w:spacing w:after="0"/>
              <w:jc w:val="center"/>
            </w:pPr>
            <w:r>
              <w:rPr>
                <w:rFonts w:ascii="Arial" w:cs="Arial" w:eastAsia="Arial" w:hAnsi="Arial"/>
                <w:b/>
                <w:bCs/>
                <w:color w:val="FFFFFF"/>
                <w:spacing w:val="14"/>
                <w:sz w:val="15"/>
                <w:szCs w:val="15"/>
              </w:rPr>
              <w:t xml:space="preserve">PRODUCER POTENTIAL</w:t>
            </w:r>
          </w:p>
        </w:tc>
        <w:tc>
          <w:tcPr>
            <w:tcW w:type="dxa" w:w="3120"/>
            <w:tcBorders>
              <w:top w:val="single" w:color="C9A23F" w:sz="6"/>
              <w:left w:val="single" w:color="0C2438" w:sz="2"/>
              <w:bottom w:val="single" w:color="C9A23F" w:sz="6"/>
              <w:right w:val="single" w:color="0C2438" w:sz="2"/>
            </w:tcBorders>
            <w:shd w:fill="0C2438" w:val="clear"/>
            <w:tcMar>
              <w:top w:type="dxa" w:w="120"/>
              <w:left w:type="dxa" w:w="80"/>
              <w:bottom w:type="dxa" w:w="120"/>
              <w:right w:type="dxa" w:w="80"/>
            </w:tcMar>
            <w:vAlign w:val="center"/>
          </w:tcPr>
          <w:p>
            <w:pPr>
              <w:spacing w:after="30"/>
              <w:jc w:val="center"/>
            </w:pPr>
            <w:r>
              <w:rPr>
                <w:rFonts w:ascii="Georgia" w:cs="Georgia" w:eastAsia="Georgia" w:hAnsi="Georgia"/>
                <w:b/>
                <w:bCs/>
                <w:color w:val="C9A23F"/>
                <w:sz w:val="32"/>
                <w:szCs w:val="32"/>
              </w:rPr>
              <w:t xml:space="preserve">$1,800</w:t>
            </w:r>
          </w:p>
          <w:p>
            <w:pPr>
              <w:spacing w:after="0"/>
              <w:jc w:val="center"/>
            </w:pPr>
            <w:r>
              <w:rPr>
                <w:rFonts w:ascii="Arial" w:cs="Arial" w:eastAsia="Arial" w:hAnsi="Arial"/>
                <w:b/>
                <w:bCs/>
                <w:color w:val="FFFFFF"/>
                <w:spacing w:val="14"/>
                <w:sz w:val="15"/>
                <w:szCs w:val="15"/>
              </w:rPr>
              <w:t xml:space="preserve">LEADERSHIELD EBITDA</w:t>
            </w:r>
          </w:p>
        </w:tc>
        <w:tc>
          <w:tcPr>
            <w:tcW w:type="dxa" w:w="3120"/>
            <w:tcBorders>
              <w:top w:val="single" w:color="C9A23F" w:sz="6"/>
              <w:left w:val="single" w:color="0C2438" w:sz="2"/>
              <w:bottom w:val="single" w:color="C9A23F" w:sz="6"/>
              <w:right w:val="single" w:color="0C2438" w:sz="2"/>
            </w:tcBorders>
            <w:shd w:fill="16395C" w:val="clear"/>
            <w:tcMar>
              <w:top w:type="dxa" w:w="120"/>
              <w:left w:type="dxa" w:w="80"/>
              <w:bottom w:type="dxa" w:w="120"/>
              <w:right w:type="dxa" w:w="80"/>
            </w:tcMar>
            <w:vAlign w:val="center"/>
          </w:tcPr>
          <w:p>
            <w:pPr>
              <w:spacing w:after="30"/>
              <w:jc w:val="center"/>
            </w:pPr>
            <w:r>
              <w:rPr>
                <w:rFonts w:ascii="Georgia" w:cs="Georgia" w:eastAsia="Georgia" w:hAnsi="Georgia"/>
                <w:b/>
                <w:bCs/>
                <w:color w:val="C9A23F"/>
                <w:sz w:val="32"/>
                <w:szCs w:val="32"/>
              </w:rPr>
              <w:t xml:space="preserve">$6,000</w:t>
            </w:r>
          </w:p>
          <w:p>
            <w:pPr>
              <w:spacing w:after="0"/>
              <w:jc w:val="center"/>
            </w:pPr>
            <w:r>
              <w:rPr>
                <w:rFonts w:ascii="Arial" w:cs="Arial" w:eastAsia="Arial" w:hAnsi="Arial"/>
                <w:b/>
                <w:bCs/>
                <w:color w:val="FFFFFF"/>
                <w:spacing w:val="14"/>
                <w:sz w:val="15"/>
                <w:szCs w:val="15"/>
              </w:rPr>
              <w:t xml:space="preserve">PMF FUNDING</w:t>
            </w:r>
          </w:p>
        </w:tc>
      </w:tr>
    </w:tbl>
    <w:p>
      <w:pPr>
        <w:spacing w:after="50"/>
      </w:pPr>
      <w:r>
        <w:rPr>
          <w:rFonts w:ascii="Arial" w:cs="Arial" w:eastAsia="Arial" w:hAnsi="Arial"/>
        </w:rPr>
        <w:t xml:space="preserve"/>
      </w:r>
    </w:p>
    <w:p>
      <w:pPr>
        <w:keepNext/>
        <w:spacing w:after="70" w:before="200"/>
      </w:pPr>
      <w:r>
        <w:rPr>
          <w:rFonts w:ascii="Arial" w:cs="Arial" w:eastAsia="Arial" w:hAnsi="Arial"/>
          <w:b/>
          <w:bCs/>
          <w:color w:val="C9A23F"/>
          <w:sz w:val="22"/>
          <w:szCs w:val="22"/>
        </w:rPr>
        <w:t xml:space="preserve">▍ </w:t>
      </w:r>
      <w:r>
        <w:rPr>
          <w:rFonts w:ascii="Arial" w:cs="Arial" w:eastAsia="Arial" w:hAnsi="Arial"/>
          <w:b/>
          <w:bCs/>
          <w:color w:val="0C2438"/>
          <w:sz w:val="22"/>
          <w:szCs w:val="22"/>
        </w:rPr>
        <w:t xml:space="preserve">Leadership Agency Example</w:t>
      </w:r>
    </w:p>
    <w:p>
      <w:pPr>
        <w:spacing w:after="140" w:before="0" w:line="276"/>
      </w:pPr>
      <w:r>
        <w:rPr>
          <w:rFonts w:ascii="Arial" w:cs="Arial" w:eastAsia="Arial" w:hAnsi="Arial"/>
          <w:color w:val="1E2733"/>
          <w:sz w:val="21"/>
          <w:szCs w:val="21"/>
        </w:rPr>
        <w:t xml:space="preserve">Assuming a 5% agency override on the same transaction, the producer portion of 27.5% equals $3,300 and the agency override of 5% equals $600, for a combined $3,900 from the opening pool, plus a $300 performance-accelerator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9A23F" w:sz="6"/>
              <w:left w:val="single" w:color="0C2438" w:sz="2"/>
              <w:bottom w:val="single" w:color="C9A23F" w:sz="6"/>
              <w:right w:val="single" w:color="0C2438" w:sz="2"/>
            </w:tcBorders>
            <w:shd w:fill="16395C" w:val="clear"/>
            <w:tcMar>
              <w:top w:type="dxa" w:w="120"/>
              <w:left w:type="dxa" w:w="80"/>
              <w:bottom w:type="dxa" w:w="120"/>
              <w:right w:type="dxa" w:w="80"/>
            </w:tcMar>
            <w:vAlign w:val="center"/>
          </w:tcPr>
          <w:p>
            <w:pPr>
              <w:spacing w:after="30"/>
              <w:jc w:val="center"/>
            </w:pPr>
            <w:r>
              <w:rPr>
                <w:rFonts w:ascii="Georgia" w:cs="Georgia" w:eastAsia="Georgia" w:hAnsi="Georgia"/>
                <w:b/>
                <w:bCs/>
                <w:color w:val="C9A23F"/>
                <w:sz w:val="32"/>
                <w:szCs w:val="32"/>
              </w:rPr>
              <w:t xml:space="preserve">$4,200</w:t>
            </w:r>
          </w:p>
          <w:p>
            <w:pPr>
              <w:spacing w:after="0"/>
              <w:jc w:val="center"/>
            </w:pPr>
            <w:r>
              <w:rPr>
                <w:rFonts w:ascii="Arial" w:cs="Arial" w:eastAsia="Arial" w:hAnsi="Arial"/>
                <w:b/>
                <w:bCs/>
                <w:color w:val="FFFFFF"/>
                <w:spacing w:val="14"/>
                <w:sz w:val="15"/>
                <w:szCs w:val="15"/>
              </w:rPr>
              <w:t xml:space="preserve">ORG. POTENTIAL</w:t>
            </w:r>
          </w:p>
        </w:tc>
        <w:tc>
          <w:tcPr>
            <w:tcW w:type="dxa" w:w="3120"/>
            <w:tcBorders>
              <w:top w:val="single" w:color="C9A23F" w:sz="6"/>
              <w:left w:val="single" w:color="0C2438" w:sz="2"/>
              <w:bottom w:val="single" w:color="C9A23F" w:sz="6"/>
              <w:right w:val="single" w:color="0C2438" w:sz="2"/>
            </w:tcBorders>
            <w:shd w:fill="0C2438" w:val="clear"/>
            <w:tcMar>
              <w:top w:type="dxa" w:w="120"/>
              <w:left w:type="dxa" w:w="80"/>
              <w:bottom w:type="dxa" w:w="120"/>
              <w:right w:type="dxa" w:w="80"/>
            </w:tcMar>
            <w:vAlign w:val="center"/>
          </w:tcPr>
          <w:p>
            <w:pPr>
              <w:spacing w:after="30"/>
              <w:jc w:val="center"/>
            </w:pPr>
            <w:r>
              <w:rPr>
                <w:rFonts w:ascii="Georgia" w:cs="Georgia" w:eastAsia="Georgia" w:hAnsi="Georgia"/>
                <w:b/>
                <w:bCs/>
                <w:color w:val="C9A23F"/>
                <w:sz w:val="32"/>
                <w:szCs w:val="32"/>
              </w:rPr>
              <w:t xml:space="preserve">$1,800</w:t>
            </w:r>
          </w:p>
          <w:p>
            <w:pPr>
              <w:spacing w:after="0"/>
              <w:jc w:val="center"/>
            </w:pPr>
            <w:r>
              <w:rPr>
                <w:rFonts w:ascii="Arial" w:cs="Arial" w:eastAsia="Arial" w:hAnsi="Arial"/>
                <w:b/>
                <w:bCs/>
                <w:color w:val="FFFFFF"/>
                <w:spacing w:val="14"/>
                <w:sz w:val="15"/>
                <w:szCs w:val="15"/>
              </w:rPr>
              <w:t xml:space="preserve">LEADERSHIELD EBITDA</w:t>
            </w:r>
          </w:p>
        </w:tc>
        <w:tc>
          <w:tcPr>
            <w:tcW w:type="dxa" w:w="3120"/>
            <w:tcBorders>
              <w:top w:val="single" w:color="C9A23F" w:sz="6"/>
              <w:left w:val="single" w:color="0C2438" w:sz="2"/>
              <w:bottom w:val="single" w:color="C9A23F" w:sz="6"/>
              <w:right w:val="single" w:color="0C2438" w:sz="2"/>
            </w:tcBorders>
            <w:shd w:fill="16395C" w:val="clear"/>
            <w:tcMar>
              <w:top w:type="dxa" w:w="120"/>
              <w:left w:type="dxa" w:w="80"/>
              <w:bottom w:type="dxa" w:w="120"/>
              <w:right w:type="dxa" w:w="80"/>
            </w:tcMar>
            <w:vAlign w:val="center"/>
          </w:tcPr>
          <w:p>
            <w:pPr>
              <w:spacing w:after="30"/>
              <w:jc w:val="center"/>
            </w:pPr>
            <w:r>
              <w:rPr>
                <w:rFonts w:ascii="Georgia" w:cs="Georgia" w:eastAsia="Georgia" w:hAnsi="Georgia"/>
                <w:b/>
                <w:bCs/>
                <w:color w:val="C9A23F"/>
                <w:sz w:val="32"/>
                <w:szCs w:val="32"/>
              </w:rPr>
              <w:t xml:space="preserve">$6,000</w:t>
            </w:r>
          </w:p>
          <w:p>
            <w:pPr>
              <w:spacing w:after="0"/>
              <w:jc w:val="center"/>
            </w:pPr>
            <w:r>
              <w:rPr>
                <w:rFonts w:ascii="Arial" w:cs="Arial" w:eastAsia="Arial" w:hAnsi="Arial"/>
                <w:b/>
                <w:bCs/>
                <w:color w:val="FFFFFF"/>
                <w:spacing w:val="14"/>
                <w:sz w:val="15"/>
                <w:szCs w:val="15"/>
              </w:rPr>
              <w:t xml:space="preserve">PMF FUNDING</w:t>
            </w:r>
          </w:p>
        </w:tc>
      </w:tr>
    </w:tbl>
    <w:p>
      <w:pPr>
        <w:spacing w:after="50"/>
      </w:pPr>
      <w:r>
        <w:rPr>
          <w:rFonts w:ascii="Arial" w:cs="Arial" w:eastAsia="Arial" w:hAnsi="Arial"/>
        </w:rPr>
        <w:t xml:space="preserve"/>
      </w:r>
    </w:p>
    <w:p>
      <w:pPr>
        <w:keepNext/>
        <w:spacing w:after="70" w:before="200"/>
      </w:pPr>
      <w:r>
        <w:rPr>
          <w:rFonts w:ascii="Arial" w:cs="Arial" w:eastAsia="Arial" w:hAnsi="Arial"/>
          <w:b/>
          <w:bCs/>
          <w:color w:val="C9A23F"/>
          <w:sz w:val="22"/>
          <w:szCs w:val="22"/>
        </w:rPr>
        <w:t xml:space="preserve">▍ </w:t>
      </w:r>
      <w:r>
        <w:rPr>
          <w:rFonts w:ascii="Arial" w:cs="Arial" w:eastAsia="Arial" w:hAnsi="Arial"/>
          <w:b/>
          <w:bCs/>
          <w:color w:val="0C2438"/>
          <w:sz w:val="22"/>
          <w:szCs w:val="22"/>
        </w:rPr>
        <w:t xml:space="preserve">Larger Transaction Example — $500,000 Funding</w:t>
      </w:r>
    </w:p>
    <w:p>
      <w:pPr>
        <w:spacing w:after="140" w:before="0" w:line="276"/>
      </w:pPr>
      <w:r>
        <w:rPr>
          <w:rFonts w:ascii="Arial" w:cs="Arial" w:eastAsia="Arial" w:hAnsi="Arial"/>
          <w:color w:val="1E2733"/>
          <w:sz w:val="21"/>
          <w:szCs w:val="21"/>
        </w:rPr>
        <w:t xml:space="preserve">At a 12% gross commission, a $500,000 approval produces a $60,000 gross commission, allocated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rPr>
          <w:tblHeader/>
        </w:trPr>
        <w:tc>
          <w:tcPr>
            <w:tcW w:type="dxa" w:w="620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left"/>
            </w:pPr>
            <w:r>
              <w:rPr>
                <w:rFonts w:ascii="Arial" w:cs="Arial" w:eastAsia="Arial" w:hAnsi="Arial"/>
                <w:b/>
                <w:bCs/>
                <w:color w:val="FFFFFF"/>
                <w:spacing w:val="6"/>
                <w:sz w:val="19"/>
                <w:szCs w:val="19"/>
              </w:rPr>
              <w:t xml:space="preserve">Recipient</w:t>
            </w:r>
          </w:p>
        </w:tc>
        <w:tc>
          <w:tcPr>
            <w:tcW w:type="dxa" w:w="316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center"/>
            </w:pPr>
            <w:r>
              <w:rPr>
                <w:rFonts w:ascii="Arial" w:cs="Arial" w:eastAsia="Arial" w:hAnsi="Arial"/>
                <w:b/>
                <w:bCs/>
                <w:color w:val="FFFFFF"/>
                <w:spacing w:val="6"/>
                <w:sz w:val="19"/>
                <w:szCs w:val="19"/>
              </w:rPr>
              <w:t xml:space="preserve">Amount</w:t>
            </w:r>
          </w:p>
        </w:tc>
      </w:tr>
      <w:tr>
        <w:tc>
          <w:tcPr>
            <w:tcW w:type="dxa" w:w="62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PMF Premium Merchant Funding</w:t>
            </w:r>
          </w:p>
        </w:tc>
        <w:tc>
          <w:tcPr>
            <w:tcW w:type="dxa" w:w="316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$30,000</w:t>
            </w:r>
          </w:p>
        </w:tc>
      </w:tr>
      <w:tr>
        <w:tc>
          <w:tcPr>
            <w:tcW w:type="dxa" w:w="62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Opening Pool</w:t>
            </w:r>
          </w:p>
        </w:tc>
        <w:tc>
          <w:tcPr>
            <w:tcW w:type="dxa" w:w="316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$19,500</w:t>
            </w:r>
          </w:p>
        </w:tc>
      </w:tr>
      <w:tr>
        <w:tc>
          <w:tcPr>
            <w:tcW w:type="dxa" w:w="62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Performance Pool</w:t>
            </w:r>
          </w:p>
        </w:tc>
        <w:tc>
          <w:tcPr>
            <w:tcW w:type="dxa" w:w="316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$1,500</w:t>
            </w:r>
          </w:p>
        </w:tc>
      </w:tr>
      <w:tr>
        <w:tc>
          <w:tcPr>
            <w:tcW w:type="dxa" w:w="62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LeaderShield Contribution EBITDA</w:t>
            </w:r>
          </w:p>
        </w:tc>
        <w:tc>
          <w:tcPr>
            <w:tcW w:type="dxa" w:w="316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$9,000</w:t>
            </w:r>
          </w:p>
        </w:tc>
      </w:tr>
      <w:tr>
        <w:tc>
          <w:tcPr>
            <w:tcW w:type="dxa" w:w="62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9A7A28"/>
                <w:sz w:val="20"/>
                <w:szCs w:val="20"/>
              </w:rPr>
              <w:t xml:space="preserve">Total</w:t>
            </w:r>
          </w:p>
        </w:tc>
        <w:tc>
          <w:tcPr>
            <w:tcW w:type="dxa" w:w="316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bCs/>
                <w:color w:val="9A7A28"/>
                <w:sz w:val="20"/>
                <w:szCs w:val="20"/>
              </w:rPr>
              <w:t xml:space="preserve">$60,000</w:t>
            </w:r>
          </w:p>
        </w:tc>
      </w:tr>
    </w:tbl>
    <w:p>
      <w:pPr>
        <w:spacing w:after="40"/>
      </w:pPr>
      <w:r>
        <w:rPr>
          <w:rFonts w:ascii="Arial" w:cs="Arial" w:eastAsia="Arial" w:hAnsi="Arial"/>
        </w:rPr>
        <w:t xml:space="preserve"/>
      </w:r>
    </w:p>
    <w:p>
      <w:pPr>
        <w:spacing w:after="140" w:before="0" w:line="276"/>
      </w:pPr>
      <w:r>
        <w:rPr>
          <w:rFonts w:ascii="Arial" w:cs="Arial" w:eastAsia="Arial" w:hAnsi="Arial"/>
          <w:color w:val="1E2733"/>
          <w:sz w:val="21"/>
          <w:szCs w:val="21"/>
        </w:rPr>
        <w:t xml:space="preserve">An independent producer's potential on this transaction approaches $21,000, with LeaderShield retaining $9,000 of contribution EBITDA.</w:t>
      </w:r>
    </w:p>
    <w:p>
      <w:pPr>
        <w:keepNext/>
        <w:pBdr>
          <w:bottom w:val="single" w:color="C9A23F" w:sz="10" w:space="6"/>
        </w:pBdr>
        <w:spacing w:after="120" w:before="300"/>
      </w:pPr>
      <w:r>
        <w:rPr>
          <w:rFonts w:ascii="Arial" w:cs="Arial" w:eastAsia="Arial" w:hAnsi="Arial"/>
          <w:b/>
          <w:bCs/>
          <w:color w:val="16395C"/>
          <w:spacing w:val="14"/>
          <w:sz w:val="24"/>
          <w:szCs w:val="24"/>
        </w:rPr>
        <w:t xml:space="preserve">CONTRIBUTION EBITDA PHILOSOPHY</w:t>
      </w:r>
    </w:p>
    <w:p>
      <w:pPr>
        <w:spacing w:after="140" w:before="0" w:line="276"/>
      </w:pPr>
      <w:r>
        <w:rPr>
          <w:rFonts w:ascii="Arial" w:cs="Arial" w:eastAsia="Arial" w:hAnsi="Arial"/>
          <w:color w:val="1E2733"/>
          <w:sz w:val="21"/>
          <w:szCs w:val="21"/>
        </w:rPr>
        <w:t xml:space="preserve">LeaderShield retains </w:t>
      </w:r>
      <w:r>
        <w:rPr>
          <w:rFonts w:ascii="Arial" w:cs="Arial" w:eastAsia="Arial" w:hAnsi="Arial"/>
          <w:b/>
          <w:bCs/>
          <w:color w:val="0C2438"/>
          <w:sz w:val="21"/>
          <w:szCs w:val="21"/>
        </w:rPr>
        <w:t xml:space="preserve">15%</w:t>
      </w:r>
      <w:r>
        <w:rPr>
          <w:rFonts w:ascii="Arial" w:cs="Arial" w:eastAsia="Arial" w:hAnsi="Arial"/>
          <w:color w:val="1E2733"/>
          <w:sz w:val="21"/>
          <w:szCs w:val="21"/>
        </w:rPr>
        <w:t xml:space="preserve"> of total gross commissions. Management believes this level appropriately balances producer economics, recruiting competitiveness, enterprise value, operating flexibility, and long-term sustainability.</w:t>
      </w:r>
    </w:p>
    <w:p>
      <w:pPr>
        <w:spacing w:after="140" w:before="0" w:line="276"/>
      </w:pPr>
      <w:r>
        <w:rPr>
          <w:rFonts w:ascii="Arial" w:cs="Arial" w:eastAsia="Arial" w:hAnsi="Arial"/>
          <w:color w:val="1E2733"/>
          <w:sz w:val="21"/>
          <w:szCs w:val="21"/>
        </w:rPr>
        <w:t xml:space="preserve">LeaderShield contribution EBITDA supports operations, technology, compliance, executive leadership, recruiting, strategic initiatives, and future enterprise growth. Because PMF controls underwriting, capital markets, and closing personnel, LeaderShield possesses no closing compensation layer.</w:t>
      </w:r>
    </w:p>
    <w:p>
      <w:r>
        <w:br w:type="page"/>
      </w:r>
    </w:p>
    <w:p>
      <w:pPr>
        <w:spacing w:after="380"/>
      </w:pPr>
      <w:r>
        <w:rPr>
          <w:rFonts w:ascii="Arial" w:cs="Arial" w:eastAsia="Arial" w:hAnsi="Arial"/>
        </w:rPr>
        <w:t xml:space="preserve"/>
      </w:r>
    </w:p>
    <w:p>
      <w:pPr>
        <w:spacing w:after="0"/>
        <w:jc w:val="left"/>
      </w:pPr>
      <w:r>
        <w:rPr>
          <w:rFonts w:ascii="Arial" w:cs="Arial" w:eastAsia="Arial" w:hAnsi="Arial"/>
          <w:b/>
          <w:bCs/>
          <w:color w:val="9A7A28"/>
          <w:spacing w:val="60"/>
          <w:sz w:val="20"/>
          <w:szCs w:val="20"/>
        </w:rPr>
        <w:t xml:space="preserve">SECTION</w:t>
      </w:r>
    </w:p>
    <w:p>
      <w:pPr>
        <w:spacing w:after="60"/>
        <w:jc w:val="left"/>
      </w:pPr>
      <w:r>
        <w:rPr>
          <w:rFonts w:ascii="Georgia" w:cs="Georgia" w:eastAsia="Georgia" w:hAnsi="Georgia"/>
          <w:b/>
          <w:bCs/>
          <w:color w:val="16395C"/>
          <w:sz w:val="150"/>
          <w:szCs w:val="150"/>
        </w:rPr>
        <w:t xml:space="preserve">08</w:t>
      </w:r>
    </w:p>
    <w:p>
      <w:pPr>
        <w:pBdr>
          <w:bottom w:val="single" w:color="C9A23F" w:sz="20" w:space="10"/>
        </w:pBdr>
        <w:spacing w:after="160"/>
      </w:pPr>
      <w:r>
        <w:rPr>
          <w:rFonts w:ascii="Georgia" w:cs="Georgia" w:eastAsia="Georgia" w:hAnsi="Georgia"/>
          <w:b/>
          <w:bCs/>
          <w:color w:val="0C2438"/>
          <w:sz w:val="40"/>
          <w:szCs w:val="40"/>
        </w:rPr>
        <w:t xml:space="preserve">Agency Override Architecture</w:t>
      </w:r>
    </w:p>
    <w:p>
      <w:pPr>
        <w:spacing w:after="260"/>
      </w:pPr>
      <w:r>
        <w:rPr>
          <w:rFonts w:ascii="Arial" w:cs="Arial" w:eastAsia="Arial" w:hAnsi="Arial"/>
          <w:i/>
          <w:iCs/>
          <w:color w:val="2E6E9E"/>
          <w:sz w:val="24"/>
          <w:szCs w:val="24"/>
        </w:rPr>
        <w:t xml:space="preserve">Entrepreneurial freedom within disciplined limits — flexibility that preserves platform economics.</w:t>
      </w:r>
    </w:p>
    <w:p>
      <w:pPr>
        <w:spacing w:after="80" w:before="120"/>
      </w:pPr>
      <w:r>
        <w:rPr>
          <w:rFonts w:ascii="Arial" w:cs="Arial" w:eastAsia="Arial" w:hAnsi="Arial"/>
          <w:b/>
          <w:bCs/>
          <w:color w:val="5C6675"/>
          <w:spacing w:val="24"/>
          <w:sz w:val="16"/>
          <w:szCs w:val="16"/>
        </w:rPr>
        <w:t xml:space="preserve">IN THIS SECTION</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Philosophy of agency economics</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Organizational ownership</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Three-level limitation</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Weighting philosophy</w:t>
      </w:r>
    </w:p>
    <w:p>
      <w:r>
        <w:br w:type="page"/>
      </w:r>
    </w:p>
    <w:p>
      <w:pPr>
        <w:spacing w:after="200" w:line="300"/>
      </w:pPr>
      <w:r>
        <w:rPr>
          <w:rFonts w:ascii="Arial" w:cs="Arial" w:eastAsia="Arial" w:hAnsi="Arial"/>
          <w:color w:val="16395C"/>
          <w:sz w:val="23"/>
          <w:szCs w:val="23"/>
        </w:rPr>
        <w:t xml:space="preserve">LeaderShield recognizes that organizations are built differently. Some agency owners emphasize personal production; others emphasize recruiting and leadership; still others focus on training, culture, and organizational development.</w:t>
      </w:r>
    </w:p>
    <w:p>
      <w:pPr>
        <w:spacing w:after="140" w:before="0" w:line="276"/>
      </w:pPr>
      <w:r>
        <w:rPr>
          <w:rFonts w:ascii="Arial" w:cs="Arial" w:eastAsia="Arial" w:hAnsi="Arial"/>
          <w:color w:val="1E2733"/>
          <w:sz w:val="21"/>
          <w:szCs w:val="21"/>
        </w:rPr>
        <w:t xml:space="preserve">Accordingly, LeaderShield seeks to provide agency leaders with flexibility rather than imposing unnecessary rigidity. Management believes entrepreneurial freedom creates stronger organizations and improves recruiting. The objective is to provide agency owners with choices while preserving alignment with platform economics and long-term enterprise value.</w:t>
      </w:r>
    </w:p>
    <w:p>
      <w:pPr>
        <w:keepNext/>
        <w:pBdr>
          <w:bottom w:val="single" w:color="C9A23F" w:sz="10" w:space="6"/>
        </w:pBdr>
        <w:spacing w:after="120" w:before="300"/>
      </w:pPr>
      <w:r>
        <w:rPr>
          <w:rFonts w:ascii="Arial" w:cs="Arial" w:eastAsia="Arial" w:hAnsi="Arial"/>
          <w:b/>
          <w:bCs/>
          <w:color w:val="16395C"/>
          <w:spacing w:val="14"/>
          <w:sz w:val="24"/>
          <w:szCs w:val="24"/>
        </w:rPr>
        <w:t xml:space="preserve">ORGANIZATIONAL OWNERSHIP</w:t>
      </w:r>
    </w:p>
    <w:p>
      <w:pPr>
        <w:spacing w:after="140" w:before="0" w:line="276"/>
      </w:pPr>
      <w:r>
        <w:rPr>
          <w:rFonts w:ascii="Arial" w:cs="Arial" w:eastAsia="Arial" w:hAnsi="Arial"/>
          <w:color w:val="1E2733"/>
          <w:sz w:val="21"/>
          <w:szCs w:val="21"/>
        </w:rPr>
        <w:t xml:space="preserve">LeaderShield intentionally seeks to encourage entrepreneurship. Agency leaders are encouraged to develop cultures and structures consistent with their own objectives. Management believes this flexibility strengthens recruiting, retention, leadership development, and organizational stability. Rather than forcing uniformity, LeaderShield seeks to empower ownership.</w:t>
      </w:r>
    </w:p>
    <w:p>
      <w:pPr>
        <w:keepNext/>
        <w:pBdr>
          <w:bottom w:val="single" w:color="C9A23F" w:sz="10" w:space="6"/>
        </w:pBdr>
        <w:spacing w:after="120" w:before="300"/>
      </w:pPr>
      <w:r>
        <w:rPr>
          <w:rFonts w:ascii="Arial" w:cs="Arial" w:eastAsia="Arial" w:hAnsi="Arial"/>
          <w:b/>
          <w:bCs/>
          <w:color w:val="16395C"/>
          <w:spacing w:val="14"/>
          <w:sz w:val="24"/>
          <w:szCs w:val="24"/>
        </w:rPr>
        <w:t xml:space="preserve">THREE-LEVEL LIMITATION</w:t>
      </w:r>
    </w:p>
    <w:p>
      <w:pPr>
        <w:spacing w:after="140" w:before="0" w:line="276"/>
      </w:pPr>
      <w:r>
        <w:rPr>
          <w:rFonts w:ascii="Arial" w:cs="Arial" w:eastAsia="Arial" w:hAnsi="Arial"/>
          <w:color w:val="1E2733"/>
          <w:sz w:val="21"/>
          <w:szCs w:val="21"/>
        </w:rPr>
        <w:t xml:space="preserve">To protect economics and maintain simplicity, organizational depth is limited to three levels. Management believes excessive depth creates complexity, margin compression, administrative burdens, and reduced transparency. Accordingly, LeaderShield intentionally limits organizational depth.</w:t>
      </w:r>
    </w:p>
    <w:tbl>
      <w:tblPr>
        <w:tblW w:type="dxa" w:w="9360"/>
        <w:tblBorders>
          <w:top w:val="single" w:color="F7F0DC" w:sz="2"/>
          <w:left w:val="single" w:color="C9A23F" w:sz="30"/>
          <w:bottom w:val="single" w:color="F7F0DC" w:sz="2"/>
          <w:right w:val="single" w:color="F7F0DC" w:sz="2"/>
          <w:insideH w:val="single" w:color="auto" w:sz="4"/>
          <w:insideV w:val="single" w:color="auto" w:sz="4"/>
        </w:tblBorders>
      </w:tblPr>
      <w:tblGrid>
        <w:gridCol w:w="9360"/>
      </w:tblGrid>
      <w:tr>
        <w:tc>
          <w:tcPr>
            <w:tcW w:type="dxa" w:w="9360"/>
            <w:shd w:fill="F7F0DC" w:val="clear"/>
            <w:tcMar>
              <w:top w:type="dxa" w:w="150"/>
              <w:left w:type="dxa" w:w="240"/>
              <w:bottom w:type="dxa" w:w="150"/>
              <w:right w:type="dxa" w:w="220"/>
            </w:tcMar>
          </w:tcPr>
          <w:p>
            <w:pPr>
              <w:spacing w:after="60"/>
            </w:pPr>
            <w:r>
              <w:rPr>
                <w:rFonts w:ascii="Arial" w:cs="Arial" w:eastAsia="Arial" w:hAnsi="Arial"/>
                <w:b/>
                <w:bCs/>
                <w:color w:val="9A7A28"/>
                <w:spacing w:val="18"/>
                <w:sz w:val="17"/>
                <w:szCs w:val="17"/>
              </w:rPr>
              <w:t xml:space="preserve">OVERRIDE DISCIPLINE</w:t>
            </w:r>
          </w:p>
          <w:p>
            <w:pPr>
              <w:spacing w:after="0" w:line="280"/>
            </w:pPr>
            <w:r>
              <w:rPr>
                <w:rFonts w:ascii="Arial" w:cs="Arial" w:eastAsia="Arial" w:hAnsi="Arial"/>
                <w:i w:val="false"/>
                <w:iCs w:val="false"/>
                <w:color w:val="0C2438"/>
                <w:sz w:val="21"/>
                <w:szCs w:val="21"/>
              </w:rPr>
              <w:t xml:space="preserve">Agency overrides are always paid from within the producer commissionable pool — never additive to it. This single principle preserves platform contribution EBITDA regardless of how an organization is structured.</w:t>
            </w:r>
          </w:p>
        </w:tc>
      </w:tr>
    </w:tbl>
    <w:p>
      <w:r>
        <w:br w:type="page"/>
      </w:r>
    </w:p>
    <w:p>
      <w:pPr>
        <w:spacing w:after="380"/>
      </w:pPr>
      <w:r>
        <w:rPr>
          <w:rFonts w:ascii="Arial" w:cs="Arial" w:eastAsia="Arial" w:hAnsi="Arial"/>
        </w:rPr>
        <w:t xml:space="preserve"/>
      </w:r>
    </w:p>
    <w:p>
      <w:pPr>
        <w:spacing w:after="0"/>
        <w:jc w:val="left"/>
      </w:pPr>
      <w:r>
        <w:rPr>
          <w:rFonts w:ascii="Arial" w:cs="Arial" w:eastAsia="Arial" w:hAnsi="Arial"/>
          <w:b/>
          <w:bCs/>
          <w:color w:val="9A7A28"/>
          <w:spacing w:val="60"/>
          <w:sz w:val="20"/>
          <w:szCs w:val="20"/>
        </w:rPr>
        <w:t xml:space="preserve">SECTION</w:t>
      </w:r>
    </w:p>
    <w:p>
      <w:pPr>
        <w:spacing w:after="60"/>
        <w:jc w:val="left"/>
      </w:pPr>
      <w:r>
        <w:rPr>
          <w:rFonts w:ascii="Georgia" w:cs="Georgia" w:eastAsia="Georgia" w:hAnsi="Georgia"/>
          <w:b/>
          <w:bCs/>
          <w:color w:val="16395C"/>
          <w:sz w:val="150"/>
          <w:szCs w:val="150"/>
        </w:rPr>
        <w:t xml:space="preserve">09</w:t>
      </w:r>
    </w:p>
    <w:p>
      <w:pPr>
        <w:pBdr>
          <w:bottom w:val="single" w:color="C9A23F" w:sz="20" w:space="10"/>
        </w:pBdr>
        <w:spacing w:after="160"/>
      </w:pPr>
      <w:r>
        <w:rPr>
          <w:rFonts w:ascii="Georgia" w:cs="Georgia" w:eastAsia="Georgia" w:hAnsi="Georgia"/>
          <w:b/>
          <w:bCs/>
          <w:color w:val="0C2438"/>
          <w:sz w:val="40"/>
          <w:szCs w:val="40"/>
        </w:rPr>
        <w:t xml:space="preserve">Residual Governance &amp; Lifetime Income Protection</w:t>
      </w:r>
    </w:p>
    <w:p>
      <w:pPr>
        <w:spacing w:after="260"/>
      </w:pPr>
      <w:r>
        <w:rPr>
          <w:rFonts w:ascii="Arial" w:cs="Arial" w:eastAsia="Arial" w:hAnsi="Arial"/>
          <w:i/>
          <w:iCs/>
          <w:color w:val="2E6E9E"/>
          <w:sz w:val="24"/>
          <w:szCs w:val="24"/>
        </w:rPr>
        <w:t xml:space="preserve">Residual income rewards ongoing contribution — not passive ownership.</w:t>
      </w:r>
    </w:p>
    <w:p>
      <w:pPr>
        <w:spacing w:after="80" w:before="120"/>
      </w:pPr>
      <w:r>
        <w:rPr>
          <w:rFonts w:ascii="Arial" w:cs="Arial" w:eastAsia="Arial" w:hAnsi="Arial"/>
          <w:b/>
          <w:bCs/>
          <w:color w:val="5C6675"/>
          <w:spacing w:val="24"/>
          <w:sz w:val="16"/>
          <w:szCs w:val="16"/>
        </w:rPr>
        <w:t xml:space="preserve">IN THIS SECTION</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Philosophy &amp; eligible products</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Mature residual economics</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Good standing &amp; production standards</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Suspension, reinstatement &amp; estate provisions</w:t>
      </w:r>
    </w:p>
    <w:p>
      <w:r>
        <w:br w:type="page"/>
      </w:r>
    </w:p>
    <w:p>
      <w:pPr>
        <w:spacing w:after="200" w:line="300"/>
      </w:pPr>
      <w:r>
        <w:rPr>
          <w:rFonts w:ascii="Arial" w:cs="Arial" w:eastAsia="Arial" w:hAnsi="Arial"/>
          <w:color w:val="16395C"/>
          <w:sz w:val="23"/>
          <w:szCs w:val="23"/>
        </w:rPr>
        <w:t xml:space="preserve">LeaderShield believes that residual income represents one of the most powerful wealth-building mechanisms available to producers, creating retention, stronger cultures, greater alignment, improved recruiting, and increased enterprise value.</w:t>
      </w:r>
    </w:p>
    <w:p>
      <w:pPr>
        <w:spacing w:after="140" w:before="0" w:line="276"/>
      </w:pPr>
      <w:r>
        <w:rPr>
          <w:rFonts w:ascii="Arial" w:cs="Arial" w:eastAsia="Arial" w:hAnsi="Arial"/>
          <w:color w:val="1E2733"/>
          <w:sz w:val="21"/>
          <w:szCs w:val="21"/>
        </w:rPr>
        <w:t xml:space="preserve">However, management also believes that residual rights should remain aligned with continued value creation. Residual income is intended to reward ongoing contribution rather than passive ownership.</w:t>
      </w:r>
    </w:p>
    <w:p>
      <w:pPr>
        <w:keepNext/>
        <w:pBdr>
          <w:bottom w:val="single" w:color="C9A23F" w:sz="10" w:space="6"/>
        </w:pBdr>
        <w:spacing w:after="120" w:before="300"/>
      </w:pPr>
      <w:r>
        <w:rPr>
          <w:rFonts w:ascii="Arial" w:cs="Arial" w:eastAsia="Arial" w:hAnsi="Arial"/>
          <w:b/>
          <w:bCs/>
          <w:color w:val="16395C"/>
          <w:spacing w:val="14"/>
          <w:sz w:val="24"/>
          <w:szCs w:val="24"/>
        </w:rPr>
        <w:t xml:space="preserve">ELIGIBLE PRODUCTS &amp; MATURE RESIDUAL ECONOMICS</w:t>
      </w:r>
    </w:p>
    <w:p>
      <w:pPr>
        <w:spacing w:after="140" w:before="0" w:line="276"/>
      </w:pPr>
      <w:r>
        <w:rPr>
          <w:rFonts w:ascii="Arial" w:cs="Arial" w:eastAsia="Arial" w:hAnsi="Arial"/>
          <w:color w:val="1E2733"/>
          <w:sz w:val="21"/>
          <w:szCs w:val="21"/>
        </w:rPr>
        <w:t xml:space="preserve">Lifetime residual opportunities are available for Growth Foundation, Revenue Growth System, and Revenue Scale AI. Starter does not participate in lifetime residual programs; management intentionally positions Starter as an acquisition and upgrade vehicle. Following the initial twelve-month decay period, compensation stabilizes into mature residual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rPr>
          <w:tblHeader/>
        </w:trPr>
        <w:tc>
          <w:tcPr>
            <w:tcW w:type="dxa" w:w="620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left"/>
            </w:pPr>
            <w:r>
              <w:rPr>
                <w:rFonts w:ascii="Arial" w:cs="Arial" w:eastAsia="Arial" w:hAnsi="Arial"/>
                <w:b/>
                <w:bCs/>
                <w:color w:val="FFFFFF"/>
                <w:spacing w:val="6"/>
                <w:sz w:val="19"/>
                <w:szCs w:val="19"/>
              </w:rPr>
              <w:t xml:space="preserve">Product</w:t>
            </w:r>
          </w:p>
        </w:tc>
        <w:tc>
          <w:tcPr>
            <w:tcW w:type="dxa" w:w="316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center"/>
            </w:pPr>
            <w:r>
              <w:rPr>
                <w:rFonts w:ascii="Arial" w:cs="Arial" w:eastAsia="Arial" w:hAnsi="Arial"/>
                <w:b/>
                <w:bCs/>
                <w:color w:val="FFFFFF"/>
                <w:spacing w:val="6"/>
                <w:sz w:val="19"/>
                <w:szCs w:val="19"/>
              </w:rPr>
              <w:t xml:space="preserve">Flat Residual Rate (Month 13+)</w:t>
            </w:r>
          </w:p>
        </w:tc>
      </w:tr>
      <w:tr>
        <w:tc>
          <w:tcPr>
            <w:tcW w:type="dxa" w:w="62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Growth Foundation</w:t>
            </w:r>
          </w:p>
        </w:tc>
        <w:tc>
          <w:tcPr>
            <w:tcW w:type="dxa" w:w="316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10%</w:t>
            </w:r>
          </w:p>
        </w:tc>
      </w:tr>
      <w:tr>
        <w:tc>
          <w:tcPr>
            <w:tcW w:type="dxa" w:w="62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Revenue Growth System</w:t>
            </w:r>
          </w:p>
        </w:tc>
        <w:tc>
          <w:tcPr>
            <w:tcW w:type="dxa" w:w="316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15%</w:t>
            </w:r>
          </w:p>
        </w:tc>
      </w:tr>
      <w:tr>
        <w:tc>
          <w:tcPr>
            <w:tcW w:type="dxa" w:w="62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Revenue Scale AI</w:t>
            </w:r>
          </w:p>
        </w:tc>
        <w:tc>
          <w:tcPr>
            <w:tcW w:type="dxa" w:w="316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15%</w:t>
            </w:r>
          </w:p>
        </w:tc>
      </w:tr>
      <w:tr>
        <w:tc>
          <w:tcPr>
            <w:tcW w:type="dxa" w:w="62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Starter</w:t>
            </w:r>
          </w:p>
        </w:tc>
        <w:tc>
          <w:tcPr>
            <w:tcW w:type="dxa" w:w="316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Not eligible</w:t>
            </w:r>
          </w:p>
        </w:tc>
      </w:tr>
    </w:tbl>
    <w:p>
      <w:pPr>
        <w:spacing w:after="40"/>
      </w:pPr>
      <w:r>
        <w:rPr>
          <w:rFonts w:ascii="Arial" w:cs="Arial" w:eastAsia="Arial" w:hAnsi="Arial"/>
        </w:rPr>
        <w:t xml:space="preserve"/>
      </w:r>
    </w:p>
    <w:p>
      <w:pPr>
        <w:spacing w:after="140" w:before="0" w:line="276"/>
      </w:pPr>
      <w:r>
        <w:rPr>
          <w:rFonts w:ascii="Arial" w:cs="Arial" w:eastAsia="Arial" w:hAnsi="Arial"/>
          <w:color w:val="1E2733"/>
          <w:sz w:val="21"/>
          <w:szCs w:val="21"/>
        </w:rPr>
        <w:t xml:space="preserve">These residual percentages remain subject to qualification requirements and good-standing provisions.</w:t>
      </w:r>
    </w:p>
    <w:p>
      <w:pPr>
        <w:keepNext/>
        <w:pBdr>
          <w:bottom w:val="single" w:color="C9A23F" w:sz="10" w:space="6"/>
        </w:pBdr>
        <w:spacing w:after="120" w:before="300"/>
      </w:pPr>
      <w:r>
        <w:rPr>
          <w:rFonts w:ascii="Arial" w:cs="Arial" w:eastAsia="Arial" w:hAnsi="Arial"/>
          <w:b/>
          <w:bCs/>
          <w:color w:val="16395C"/>
          <w:spacing w:val="14"/>
          <w:sz w:val="24"/>
          <w:szCs w:val="24"/>
        </w:rPr>
        <w:t xml:space="preserve">GOOD STANDING &amp; PRODUCTION STANDARDS</w:t>
      </w:r>
    </w:p>
    <w:p>
      <w:pPr>
        <w:spacing w:after="140" w:before="0" w:line="276"/>
      </w:pPr>
      <w:r>
        <w:rPr>
          <w:rFonts w:ascii="Arial" w:cs="Arial" w:eastAsia="Arial" w:hAnsi="Arial"/>
          <w:color w:val="1E2733"/>
          <w:sz w:val="21"/>
          <w:szCs w:val="21"/>
        </w:rPr>
        <w:t xml:space="preserve">To remain eligible for residual income, distributors must maintain active platform membership, remain in compliance, maintain good standing with the organization, satisfy minimum activity standards, and avoid conduct detrimental to the platform.</w:t>
      </w:r>
    </w:p>
    <w:p>
      <w:pPr>
        <w:spacing w:after="140" w:before="0" w:line="276"/>
      </w:pPr>
      <w:r>
        <w:rPr>
          <w:rFonts w:ascii="Arial" w:cs="Arial" w:eastAsia="Arial" w:hAnsi="Arial"/>
          <w:color w:val="1E2733"/>
          <w:sz w:val="21"/>
          <w:szCs w:val="21"/>
        </w:rPr>
        <w:t xml:space="preserve">Residual ownership is intended to reward ongoing contribution, so distributors are expected to maintain reasonable levels of activity such as merchant acquisition, subscription production, MCA production, organizational development, and leadership activities. Management reserves the right to periodically adjust production standards.</w:t>
      </w:r>
    </w:p>
    <w:tbl>
      <w:tblPr>
        <w:tblW w:type="dxa" w:w="9360"/>
        <w:tblBorders>
          <w:top w:val="single" w:color="EAF0F6" w:sz="2"/>
          <w:left w:val="single" w:color="2E6E9E" w:sz="30"/>
          <w:bottom w:val="single" w:color="EAF0F6" w:sz="2"/>
          <w:right w:val="single" w:color="EAF0F6" w:sz="2"/>
          <w:insideH w:val="single" w:color="auto" w:sz="4"/>
          <w:insideV w:val="single" w:color="auto" w:sz="4"/>
        </w:tblBorders>
      </w:tblPr>
      <w:tblGrid>
        <w:gridCol w:w="9360"/>
      </w:tblGrid>
      <w:tr>
        <w:tc>
          <w:tcPr>
            <w:tcW w:type="dxa" w:w="9360"/>
            <w:shd w:fill="EAF0F6" w:val="clear"/>
            <w:tcMar>
              <w:top w:type="dxa" w:w="150"/>
              <w:left w:type="dxa" w:w="240"/>
              <w:bottom w:type="dxa" w:w="150"/>
              <w:right w:type="dxa" w:w="220"/>
            </w:tcMar>
          </w:tcPr>
          <w:p>
            <w:pPr>
              <w:spacing w:after="60"/>
            </w:pPr>
            <w:r>
              <w:rPr>
                <w:rFonts w:ascii="Arial" w:cs="Arial" w:eastAsia="Arial" w:hAnsi="Arial"/>
                <w:b/>
                <w:bCs/>
                <w:color w:val="2E6E9E"/>
                <w:spacing w:val="18"/>
                <w:sz w:val="17"/>
                <w:szCs w:val="17"/>
              </w:rPr>
              <w:t xml:space="preserve">MINIMUM PRODUCTION PHILOSOPHY</w:t>
            </w:r>
          </w:p>
          <w:p>
            <w:pPr>
              <w:spacing w:after="0" w:line="280"/>
            </w:pPr>
            <w:r>
              <w:rPr>
                <w:rFonts w:ascii="Arial" w:cs="Arial" w:eastAsia="Arial" w:hAnsi="Arial"/>
                <w:i w:val="false"/>
                <w:iCs w:val="false"/>
                <w:color w:val="0C2438"/>
                <w:sz w:val="21"/>
                <w:szCs w:val="21"/>
              </w:rPr>
              <w:t xml:space="preserve">The purpose of production requirements is not punitive. Management recognizes that production naturally fluctuates. Minimum standards exist to encourage continued participation, prevent inactive ownership, protect contribution EBITDA, and strengthen culture.</w:t>
            </w:r>
          </w:p>
        </w:tc>
      </w:tr>
    </w:tbl>
    <w:p>
      <w:pPr>
        <w:keepNext/>
        <w:pBdr>
          <w:bottom w:val="single" w:color="C9A23F" w:sz="10" w:space="6"/>
        </w:pBdr>
        <w:spacing w:after="120" w:before="300"/>
      </w:pPr>
      <w:r>
        <w:rPr>
          <w:rFonts w:ascii="Arial" w:cs="Arial" w:eastAsia="Arial" w:hAnsi="Arial"/>
          <w:b/>
          <w:bCs/>
          <w:color w:val="16395C"/>
          <w:spacing w:val="14"/>
          <w:sz w:val="24"/>
          <w:szCs w:val="24"/>
        </w:rPr>
        <w:t xml:space="preserve">SUSPENSION, REINSTATEMENT &amp; TRANSFERS</w:t>
      </w:r>
    </w:p>
    <w:p>
      <w:pPr>
        <w:spacing w:after="140" w:before="0" w:line="276"/>
      </w:pPr>
      <w:r>
        <w:rPr>
          <w:rFonts w:ascii="Arial" w:cs="Arial" w:eastAsia="Arial" w:hAnsi="Arial"/>
          <w:color w:val="1E2733"/>
          <w:sz w:val="21"/>
          <w:szCs w:val="21"/>
        </w:rPr>
        <w:t xml:space="preserve">Distributors who cease participation may become subject to residual suspension based on length of inactivity, production history, organizational contributions, and compliance standing. Residual payments may also be suspended for non-payment of platform fees, compliance violations, prolonged inactivity, fraudulent conduct, or actions harmful to the organization. Suspension does not necessarily imply permanent forfeiture.</w:t>
      </w:r>
    </w:p>
    <w:p>
      <w:pPr>
        <w:spacing w:after="140" w:before="0" w:line="276"/>
      </w:pPr>
      <w:r>
        <w:rPr>
          <w:rFonts w:ascii="Arial" w:cs="Arial" w:eastAsia="Arial" w:hAnsi="Arial"/>
          <w:color w:val="1E2733"/>
          <w:sz w:val="21"/>
          <w:szCs w:val="21"/>
        </w:rPr>
        <w:t xml:space="preserve">Distributors whose residual rights have been suspended may become eligible for reinstatement following a return to active status, production resumption, good standing, and compliance review. Management reserves discretion regarding reinstatement decisions.</w:t>
      </w:r>
    </w:p>
    <w:p>
      <w:pPr>
        <w:spacing w:after="140" w:before="0" w:line="276"/>
      </w:pPr>
      <w:r>
        <w:rPr>
          <w:rFonts w:ascii="Arial" w:cs="Arial" w:eastAsia="Arial" w:hAnsi="Arial"/>
          <w:color w:val="1E2733"/>
          <w:sz w:val="21"/>
          <w:szCs w:val="21"/>
        </w:rPr>
        <w:t xml:space="preserve">LeaderShield recognizes that residual income may represent a valuable long-term asset and intends to provide reasonable mechanisms addressing death, disability, estate planning, and certain approved transfers. Any transfer provisions remain subject to platform approval, good-standing requirements, and applicable agreements; residual rights are not automatically transferable.</w:t>
      </w:r>
    </w:p>
    <w:tbl>
      <w:tblPr>
        <w:tblW w:type="dxa" w:w="9360"/>
        <w:tblBorders>
          <w:top w:val="single" w:color="EAF0F6" w:sz="2"/>
          <w:left w:val="single" w:color="2E6E9E" w:sz="30"/>
          <w:bottom w:val="single" w:color="EAF0F6" w:sz="2"/>
          <w:right w:val="single" w:color="EAF0F6" w:sz="2"/>
          <w:insideH w:val="single" w:color="auto" w:sz="4"/>
          <w:insideV w:val="single" w:color="auto" w:sz="4"/>
        </w:tblBorders>
      </w:tblPr>
      <w:tblGrid>
        <w:gridCol w:w="9360"/>
      </w:tblGrid>
      <w:tr>
        <w:tc>
          <w:tcPr>
            <w:tcW w:type="dxa" w:w="9360"/>
            <w:shd w:fill="EAF0F6" w:val="clear"/>
            <w:tcMar>
              <w:top w:type="dxa" w:w="150"/>
              <w:left w:type="dxa" w:w="240"/>
              <w:bottom w:type="dxa" w:w="150"/>
              <w:right w:type="dxa" w:w="220"/>
            </w:tcMar>
          </w:tcPr>
          <w:p>
            <w:pPr>
              <w:spacing w:after="60"/>
            </w:pPr>
            <w:r>
              <w:rPr>
                <w:rFonts w:ascii="Arial" w:cs="Arial" w:eastAsia="Arial" w:hAnsi="Arial"/>
                <w:b/>
                <w:bCs/>
                <w:color w:val="2E6E9E"/>
                <w:spacing w:val="18"/>
                <w:sz w:val="17"/>
                <w:szCs w:val="17"/>
              </w:rPr>
              <w:t xml:space="preserve">ORPHAN BOOK PREVENTION</w:t>
            </w:r>
          </w:p>
          <w:p>
            <w:pPr>
              <w:spacing w:after="0" w:line="280"/>
            </w:pPr>
            <w:r>
              <w:rPr>
                <w:rFonts w:ascii="Arial" w:cs="Arial" w:eastAsia="Arial" w:hAnsi="Arial"/>
                <w:i w:val="false"/>
                <w:iCs w:val="false"/>
                <w:color w:val="0C2438"/>
                <w:sz w:val="21"/>
                <w:szCs w:val="21"/>
              </w:rPr>
              <w:t xml:space="preserve">The organization seeks to avoid the creation of “orphan books” consisting of merchants attached to permanently inactive distributors. Residual governance preserves merchant service quality, producer engagement, and organizational health through active stewardship of relationships.</w:t>
            </w:r>
          </w:p>
        </w:tc>
      </w:tr>
    </w:tbl>
    <w:p>
      <w:r>
        <w:br w:type="page"/>
      </w:r>
    </w:p>
    <w:p>
      <w:pPr>
        <w:spacing w:after="380"/>
      </w:pPr>
      <w:r>
        <w:rPr>
          <w:rFonts w:ascii="Arial" w:cs="Arial" w:eastAsia="Arial" w:hAnsi="Arial"/>
        </w:rPr>
        <w:t xml:space="preserve"/>
      </w:r>
    </w:p>
    <w:p>
      <w:pPr>
        <w:spacing w:after="0"/>
        <w:jc w:val="left"/>
      </w:pPr>
      <w:r>
        <w:rPr>
          <w:rFonts w:ascii="Arial" w:cs="Arial" w:eastAsia="Arial" w:hAnsi="Arial"/>
          <w:b/>
          <w:bCs/>
          <w:color w:val="9A7A28"/>
          <w:spacing w:val="60"/>
          <w:sz w:val="20"/>
          <w:szCs w:val="20"/>
        </w:rPr>
        <w:t xml:space="preserve">SECTION</w:t>
      </w:r>
    </w:p>
    <w:p>
      <w:pPr>
        <w:spacing w:after="60"/>
        <w:jc w:val="left"/>
      </w:pPr>
      <w:r>
        <w:rPr>
          <w:rFonts w:ascii="Georgia" w:cs="Georgia" w:eastAsia="Georgia" w:hAnsi="Georgia"/>
          <w:b/>
          <w:bCs/>
          <w:color w:val="16395C"/>
          <w:sz w:val="150"/>
          <w:szCs w:val="150"/>
        </w:rPr>
        <w:t xml:space="preserve">10</w:t>
      </w:r>
    </w:p>
    <w:p>
      <w:pPr>
        <w:pBdr>
          <w:bottom w:val="single" w:color="C9A23F" w:sz="20" w:space="10"/>
        </w:pBdr>
        <w:spacing w:after="160"/>
      </w:pPr>
      <w:r>
        <w:rPr>
          <w:rFonts w:ascii="Georgia" w:cs="Georgia" w:eastAsia="Georgia" w:hAnsi="Georgia"/>
          <w:b/>
          <w:bCs/>
          <w:color w:val="0C2438"/>
          <w:sz w:val="40"/>
          <w:szCs w:val="40"/>
        </w:rPr>
        <w:t xml:space="preserve">Platform Membership Fees &amp; Production-Based Waivers</w:t>
      </w:r>
    </w:p>
    <w:p>
      <w:pPr>
        <w:spacing w:after="260"/>
      </w:pPr>
      <w:r>
        <w:rPr>
          <w:rFonts w:ascii="Arial" w:cs="Arial" w:eastAsia="Arial" w:hAnsi="Arial"/>
          <w:i/>
          <w:iCs/>
          <w:color w:val="2E6E9E"/>
          <w:sz w:val="24"/>
          <w:szCs w:val="24"/>
        </w:rPr>
        <w:t xml:space="preserve">Membership creates alignment — and productive participants earn their way out of fees.</w:t>
      </w:r>
    </w:p>
    <w:p>
      <w:pPr>
        <w:spacing w:after="80" w:before="120"/>
      </w:pPr>
      <w:r>
        <w:rPr>
          <w:rFonts w:ascii="Arial" w:cs="Arial" w:eastAsia="Arial" w:hAnsi="Arial"/>
          <w:b/>
          <w:bCs/>
          <w:color w:val="5C6675"/>
          <w:spacing w:val="24"/>
          <w:sz w:val="16"/>
          <w:szCs w:val="16"/>
        </w:rPr>
        <w:t xml:space="preserve">IN THIS SECTION</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Membership philosophy</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Individual distributor membership</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Agency membership tiers</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Collected-revenue waivers</w:t>
      </w:r>
    </w:p>
    <w:p>
      <w:r>
        <w:br w:type="page"/>
      </w:r>
    </w:p>
    <w:p>
      <w:pPr>
        <w:spacing w:after="200" w:line="300"/>
      </w:pPr>
      <w:r>
        <w:rPr>
          <w:rFonts w:ascii="Arial" w:cs="Arial" w:eastAsia="Arial" w:hAnsi="Arial"/>
          <w:color w:val="16395C"/>
          <w:sz w:val="23"/>
          <w:szCs w:val="23"/>
        </w:rPr>
        <w:t xml:space="preserve">LeaderShield believes that participation in the ecosystem should create mutual alignment between producers, organizations, and the platform. Membership fees are not intended to represent profit centers.</w:t>
      </w:r>
    </w:p>
    <w:p>
      <w:pPr>
        <w:spacing w:after="140" w:before="0" w:line="276"/>
      </w:pPr>
      <w:r>
        <w:rPr>
          <w:rFonts w:ascii="Arial" w:cs="Arial" w:eastAsia="Arial" w:hAnsi="Arial"/>
          <w:color w:val="1E2733"/>
          <w:sz w:val="21"/>
          <w:szCs w:val="21"/>
        </w:rPr>
        <w:t xml:space="preserve">Rather, membership fees support alignment, commitment, platform participation, organizational engagement, and infrastructure. At the same time, high-performing distributors should be rewarded, so the platform incorporates production-based fee waivers designed to encourage activity and remove unnecessary friction for productive participants.</w:t>
      </w:r>
    </w:p>
    <w:p>
      <w:pPr>
        <w:keepNext/>
        <w:pBdr>
          <w:bottom w:val="single" w:color="C9A23F" w:sz="10" w:space="6"/>
        </w:pBdr>
        <w:spacing w:after="120" w:before="300"/>
      </w:pPr>
      <w:r>
        <w:rPr>
          <w:rFonts w:ascii="Arial" w:cs="Arial" w:eastAsia="Arial" w:hAnsi="Arial"/>
          <w:b/>
          <w:bCs/>
          <w:color w:val="16395C"/>
          <w:spacing w:val="14"/>
          <w:sz w:val="24"/>
          <w:szCs w:val="24"/>
        </w:rPr>
        <w:t xml:space="preserve">INDIVIDUAL DISTRIBUTOR MEMBERSHIP</w:t>
      </w:r>
    </w:p>
    <w:p>
      <w:pPr>
        <w:spacing w:after="140" w:before="0" w:line="276"/>
      </w:pPr>
      <w:r>
        <w:rPr>
          <w:rFonts w:ascii="Arial" w:cs="Arial" w:eastAsia="Arial" w:hAnsi="Arial"/>
          <w:color w:val="1E2733"/>
          <w:sz w:val="21"/>
          <w:szCs w:val="21"/>
        </w:rPr>
        <w:t xml:space="preserve">All distributors participate through a monthly platform membership providing access to LeaderShield platform infrastructure, training resources, compensation systems, strategic partnerships, internal product pricing, organizational support, and leadership opportunities.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left"/>
            </w:pPr>
            <w:r>
              <w:rPr>
                <w:rFonts w:ascii="Arial" w:cs="Arial" w:eastAsia="Arial" w:hAnsi="Arial"/>
                <w:b/>
                <w:bCs/>
                <w:color w:val="FFFFFF"/>
                <w:spacing w:val="6"/>
                <w:sz w:val="19"/>
                <w:szCs w:val="19"/>
              </w:rPr>
              <w:t xml:space="preserve">Item</w:t>
            </w:r>
          </w:p>
        </w:tc>
        <w:tc>
          <w:tcPr>
            <w:tcW w:type="dxa" w:w="468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left"/>
            </w:pPr>
            <w:r>
              <w:rPr>
                <w:rFonts w:ascii="Arial" w:cs="Arial" w:eastAsia="Arial" w:hAnsi="Arial"/>
                <w:b/>
                <w:bCs/>
                <w:color w:val="FFFFFF"/>
                <w:spacing w:val="6"/>
                <w:sz w:val="19"/>
                <w:szCs w:val="19"/>
              </w:rPr>
              <w:t xml:space="preserve">Detail</w:t>
            </w:r>
          </w:p>
        </w:tc>
      </w:tr>
      <w:tr>
        <w:tc>
          <w:tcPr>
            <w:tcW w:type="dxa" w:w="468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Monthly Fee</w:t>
            </w:r>
          </w:p>
        </w:tc>
        <w:tc>
          <w:tcPr>
            <w:tcW w:type="dxa" w:w="468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$99 per month</w:t>
            </w:r>
          </w:p>
        </w:tc>
      </w:tr>
      <w:tr>
        <w:tc>
          <w:tcPr>
            <w:tcW w:type="dxa" w:w="468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Production-Based Waiver</w:t>
            </w:r>
          </w:p>
        </w:tc>
        <w:tc>
          <w:tcPr>
            <w:tcW w:type="dxa" w:w="468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Automatically waived at $500+ of collected monthly commission revenue</w:t>
            </w:r>
          </w:p>
        </w:tc>
      </w:tr>
    </w:tbl>
    <w:p>
      <w:pPr>
        <w:spacing w:after="40"/>
      </w:pPr>
      <w:r>
        <w:rPr>
          <w:rFonts w:ascii="Arial" w:cs="Arial" w:eastAsia="Arial" w:hAnsi="Arial"/>
        </w:rPr>
        <w:t xml:space="preserve"/>
      </w:r>
    </w:p>
    <w:tbl>
      <w:tblPr>
        <w:tblW w:type="dxa" w:w="9360"/>
        <w:tblBorders>
          <w:top w:val="single" w:color="EAF0F6" w:sz="2"/>
          <w:left w:val="single" w:color="2E6E9E" w:sz="30"/>
          <w:bottom w:val="single" w:color="EAF0F6" w:sz="2"/>
          <w:right w:val="single" w:color="EAF0F6" w:sz="2"/>
          <w:insideH w:val="single" w:color="auto" w:sz="4"/>
          <w:insideV w:val="single" w:color="auto" w:sz="4"/>
        </w:tblBorders>
      </w:tblPr>
      <w:tblGrid>
        <w:gridCol w:w="9360"/>
      </w:tblGrid>
      <w:tr>
        <w:tc>
          <w:tcPr>
            <w:tcW w:type="dxa" w:w="9360"/>
            <w:shd w:fill="EAF0F6" w:val="clear"/>
            <w:tcMar>
              <w:top w:type="dxa" w:w="150"/>
              <w:left w:type="dxa" w:w="240"/>
              <w:bottom w:type="dxa" w:w="150"/>
              <w:right w:type="dxa" w:w="220"/>
            </w:tcMar>
          </w:tcPr>
          <w:p>
            <w:pPr>
              <w:spacing w:after="60"/>
            </w:pPr>
            <w:r>
              <w:rPr>
                <w:rFonts w:ascii="Arial" w:cs="Arial" w:eastAsia="Arial" w:hAnsi="Arial"/>
                <w:b/>
                <w:bCs/>
                <w:color w:val="2E6E9E"/>
                <w:spacing w:val="18"/>
                <w:sz w:val="17"/>
                <w:szCs w:val="17"/>
              </w:rPr>
              <w:t xml:space="preserve">PHILOSOPHY</w:t>
            </w:r>
          </w:p>
          <w:p>
            <w:pPr>
              <w:spacing w:after="0" w:line="280"/>
            </w:pPr>
            <w:r>
              <w:rPr>
                <w:rFonts w:ascii="Arial" w:cs="Arial" w:eastAsia="Arial" w:hAnsi="Arial"/>
                <w:i w:val="false"/>
                <w:iCs w:val="false"/>
                <w:color w:val="0C2438"/>
                <w:sz w:val="21"/>
                <w:szCs w:val="21"/>
              </w:rPr>
              <w:t xml:space="preserve">The objective is not to create fee income — it is to encourage activity. Productive participants should experience minimal friction.</w:t>
            </w:r>
          </w:p>
        </w:tc>
      </w:tr>
    </w:tbl>
    <w:p>
      <w:pPr>
        <w:keepNext/>
        <w:pBdr>
          <w:bottom w:val="single" w:color="C9A23F" w:sz="10" w:space="6"/>
        </w:pBdr>
        <w:spacing w:after="120" w:before="300"/>
      </w:pPr>
      <w:r>
        <w:rPr>
          <w:rFonts w:ascii="Arial" w:cs="Arial" w:eastAsia="Arial" w:hAnsi="Arial"/>
          <w:b/>
          <w:bCs/>
          <w:color w:val="16395C"/>
          <w:spacing w:val="14"/>
          <w:sz w:val="24"/>
          <w:szCs w:val="24"/>
        </w:rPr>
        <w:t xml:space="preserve">AGENCY MEMBERSHIP</w:t>
      </w:r>
    </w:p>
    <w:p>
      <w:pPr>
        <w:spacing w:after="140" w:before="0" w:line="276"/>
      </w:pPr>
      <w:r>
        <w:rPr>
          <w:rFonts w:ascii="Arial" w:cs="Arial" w:eastAsia="Arial" w:hAnsi="Arial"/>
          <w:color w:val="1E2733"/>
          <w:sz w:val="21"/>
          <w:szCs w:val="21"/>
        </w:rPr>
        <w:t xml:space="preserve">Agency organizations receive additional infrastructure and flexibility and participate through separate membership structures supporting leadership, organizational support, team infrastructure, and growth initiatives — with automatic fee waivers for productive organizations.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660"/>
        <w:gridCol w:w="4300"/>
      </w:tblGrid>
      <w:tr>
        <w:trPr>
          <w:tblHeader/>
        </w:trPr>
        <w:tc>
          <w:tcPr>
            <w:tcW w:type="dxa" w:w="340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left"/>
            </w:pPr>
            <w:r>
              <w:rPr>
                <w:rFonts w:ascii="Arial" w:cs="Arial" w:eastAsia="Arial" w:hAnsi="Arial"/>
                <w:b/>
                <w:bCs/>
                <w:color w:val="FFFFFF"/>
                <w:spacing w:val="6"/>
                <w:sz w:val="19"/>
                <w:szCs w:val="19"/>
              </w:rPr>
              <w:t xml:space="preserve">Agency Tier</w:t>
            </w:r>
          </w:p>
        </w:tc>
        <w:tc>
          <w:tcPr>
            <w:tcW w:type="dxa" w:w="166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center"/>
            </w:pPr>
            <w:r>
              <w:rPr>
                <w:rFonts w:ascii="Arial" w:cs="Arial" w:eastAsia="Arial" w:hAnsi="Arial"/>
                <w:b/>
                <w:bCs/>
                <w:color w:val="FFFFFF"/>
                <w:spacing w:val="6"/>
                <w:sz w:val="19"/>
                <w:szCs w:val="19"/>
              </w:rPr>
              <w:t xml:space="preserve">Monthly Fee</w:t>
            </w:r>
          </w:p>
        </w:tc>
        <w:tc>
          <w:tcPr>
            <w:tcW w:type="dxa" w:w="430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center"/>
            </w:pPr>
            <w:r>
              <w:rPr>
                <w:rFonts w:ascii="Arial" w:cs="Arial" w:eastAsia="Arial" w:hAnsi="Arial"/>
                <w:b/>
                <w:bCs/>
                <w:color w:val="FFFFFF"/>
                <w:spacing w:val="6"/>
                <w:sz w:val="19"/>
                <w:szCs w:val="19"/>
              </w:rPr>
              <w:t xml:space="preserve">Auto-Waived When Collected Commission Exceeds</w:t>
            </w:r>
          </w:p>
        </w:tc>
      </w:tr>
      <w:tr>
        <w:tc>
          <w:tcPr>
            <w:tcW w:type="dxa" w:w="34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Small Agency (1–5 agents)</w:t>
            </w:r>
          </w:p>
        </w:tc>
        <w:tc>
          <w:tcPr>
            <w:tcW w:type="dxa" w:w="166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$149</w:t>
            </w:r>
          </w:p>
        </w:tc>
        <w:tc>
          <w:tcPr>
            <w:tcW w:type="dxa" w:w="43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$1,500</w:t>
            </w:r>
          </w:p>
        </w:tc>
      </w:tr>
      <w:tr>
        <w:tc>
          <w:tcPr>
            <w:tcW w:type="dxa" w:w="34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Growth Agency (5–10 agents)</w:t>
            </w:r>
          </w:p>
        </w:tc>
        <w:tc>
          <w:tcPr>
            <w:tcW w:type="dxa" w:w="166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$249</w:t>
            </w:r>
          </w:p>
        </w:tc>
        <w:tc>
          <w:tcPr>
            <w:tcW w:type="dxa" w:w="43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$3,000</w:t>
            </w:r>
          </w:p>
        </w:tc>
      </w:tr>
      <w:tr>
        <w:tc>
          <w:tcPr>
            <w:tcW w:type="dxa" w:w="34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Enterprise Agency (11+ agents)</w:t>
            </w:r>
          </w:p>
        </w:tc>
        <w:tc>
          <w:tcPr>
            <w:tcW w:type="dxa" w:w="166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$499</w:t>
            </w:r>
          </w:p>
        </w:tc>
        <w:tc>
          <w:tcPr>
            <w:tcW w:type="dxa" w:w="43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$7,500</w:t>
            </w:r>
          </w:p>
        </w:tc>
      </w:tr>
    </w:tbl>
    <w:p>
      <w:pPr>
        <w:spacing w:after="40"/>
      </w:pPr>
      <w:r>
        <w:rPr>
          <w:rFonts w:ascii="Arial" w:cs="Arial" w:eastAsia="Arial" w:hAnsi="Arial"/>
        </w:rPr>
        <w:t xml:space="preserve"/>
      </w:r>
    </w:p>
    <w:p>
      <w:pPr>
        <w:keepNext/>
        <w:pBdr>
          <w:bottom w:val="single" w:color="C9A23F" w:sz="10" w:space="6"/>
        </w:pBdr>
        <w:spacing w:after="120" w:before="300"/>
      </w:pPr>
      <w:r>
        <w:rPr>
          <w:rFonts w:ascii="Arial" w:cs="Arial" w:eastAsia="Arial" w:hAnsi="Arial"/>
          <w:b/>
          <w:bCs/>
          <w:color w:val="16395C"/>
          <w:spacing w:val="14"/>
          <w:sz w:val="24"/>
          <w:szCs w:val="24"/>
        </w:rPr>
        <w:t xml:space="preserve">COLLECTED REVENUE BASIS &amp; AUTOMATIC QUALIFICATION</w:t>
      </w:r>
    </w:p>
    <w:p>
      <w:pPr>
        <w:spacing w:after="140" w:before="0" w:line="276"/>
      </w:pPr>
      <w:r>
        <w:rPr>
          <w:rFonts w:ascii="Arial" w:cs="Arial" w:eastAsia="Arial" w:hAnsi="Arial"/>
          <w:color w:val="1E2733"/>
          <w:sz w:val="21"/>
          <w:szCs w:val="21"/>
        </w:rPr>
        <w:t xml:space="preserve">All fee waivers are calculated based upon collected commission revenue — not funded volume, submitted volume, contract values, or expected commissions. Management believes collected revenue creates the strongest alignment and improves the quality of platform economics.</w:t>
      </w:r>
    </w:p>
    <w:p>
      <w:pPr>
        <w:spacing w:after="140" w:before="0" w:line="276"/>
      </w:pPr>
      <w:r>
        <w:rPr>
          <w:rFonts w:ascii="Arial" w:cs="Arial" w:eastAsia="Arial" w:hAnsi="Arial"/>
          <w:color w:val="1E2733"/>
          <w:sz w:val="21"/>
          <w:szCs w:val="21"/>
        </w:rPr>
        <w:t xml:space="preserve">Fee waivers are automatic, recalculated monthly, and non-discretionary. No applications and no approvals are required; producers and agencies simply qualify through production. Management recognizes that production naturally fluctuates and reserves the right to provide temporary accommodations when appropriate.</w:t>
      </w:r>
    </w:p>
    <w:p>
      <w:r>
        <w:br w:type="page"/>
      </w:r>
    </w:p>
    <w:p>
      <w:pPr>
        <w:spacing w:after="380"/>
      </w:pPr>
      <w:r>
        <w:rPr>
          <w:rFonts w:ascii="Arial" w:cs="Arial" w:eastAsia="Arial" w:hAnsi="Arial"/>
        </w:rPr>
        <w:t xml:space="preserve"/>
      </w:r>
    </w:p>
    <w:p>
      <w:pPr>
        <w:spacing w:after="0"/>
        <w:jc w:val="left"/>
      </w:pPr>
      <w:r>
        <w:rPr>
          <w:rFonts w:ascii="Arial" w:cs="Arial" w:eastAsia="Arial" w:hAnsi="Arial"/>
          <w:b/>
          <w:bCs/>
          <w:color w:val="9A7A28"/>
          <w:spacing w:val="60"/>
          <w:sz w:val="20"/>
          <w:szCs w:val="20"/>
        </w:rPr>
        <w:t xml:space="preserve">SECTION</w:t>
      </w:r>
    </w:p>
    <w:p>
      <w:pPr>
        <w:spacing w:after="60"/>
        <w:jc w:val="left"/>
      </w:pPr>
      <w:r>
        <w:rPr>
          <w:rFonts w:ascii="Georgia" w:cs="Georgia" w:eastAsia="Georgia" w:hAnsi="Georgia"/>
          <w:b/>
          <w:bCs/>
          <w:color w:val="16395C"/>
          <w:sz w:val="150"/>
          <w:szCs w:val="150"/>
        </w:rPr>
        <w:t xml:space="preserve">11</w:t>
      </w:r>
    </w:p>
    <w:p>
      <w:pPr>
        <w:pBdr>
          <w:bottom w:val="single" w:color="C9A23F" w:sz="20" w:space="10"/>
        </w:pBdr>
        <w:spacing w:after="160"/>
      </w:pPr>
      <w:r>
        <w:rPr>
          <w:rFonts w:ascii="Georgia" w:cs="Georgia" w:eastAsia="Georgia" w:hAnsi="Georgia"/>
          <w:b/>
          <w:bCs/>
          <w:color w:val="0C2438"/>
          <w:sz w:val="40"/>
          <w:szCs w:val="40"/>
        </w:rPr>
        <w:t xml:space="preserve">Internal Member Product Program</w:t>
      </w:r>
    </w:p>
    <w:p>
      <w:pPr>
        <w:spacing w:after="260"/>
      </w:pPr>
      <w:r>
        <w:rPr>
          <w:rFonts w:ascii="Arial" w:cs="Arial" w:eastAsia="Arial" w:hAnsi="Arial"/>
          <w:i/>
          <w:iCs/>
          <w:color w:val="2E6E9E"/>
          <w:sz w:val="24"/>
          <w:szCs w:val="24"/>
        </w:rPr>
        <w:t xml:space="preserve">Distributors into users, users into believers, believers into advocates.</w:t>
      </w:r>
    </w:p>
    <w:p>
      <w:pPr>
        <w:spacing w:after="80" w:before="120"/>
      </w:pPr>
      <w:r>
        <w:rPr>
          <w:rFonts w:ascii="Arial" w:cs="Arial" w:eastAsia="Arial" w:hAnsi="Arial"/>
          <w:b/>
          <w:bCs/>
          <w:color w:val="5C6675"/>
          <w:spacing w:val="24"/>
          <w:sz w:val="16"/>
          <w:szCs w:val="16"/>
        </w:rPr>
        <w:t xml:space="preserve">IN THIS SECTION</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Philosophy of internal adoption</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Strategic objectives</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Internal member pricing</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Margin philosophy</w:t>
      </w:r>
    </w:p>
    <w:p>
      <w:r>
        <w:br w:type="page"/>
      </w:r>
    </w:p>
    <w:p>
      <w:pPr>
        <w:spacing w:after="200" w:line="300"/>
      </w:pPr>
      <w:r>
        <w:rPr>
          <w:rFonts w:ascii="Arial" w:cs="Arial" w:eastAsia="Arial" w:hAnsi="Arial"/>
          <w:color w:val="16395C"/>
          <w:sz w:val="23"/>
          <w:szCs w:val="23"/>
        </w:rPr>
        <w:t xml:space="preserve">LeaderShield believes that one of the greatest competitive advantages available to the organization is the ability to transform distributors into users, users into believers, and believers into advocates.</w:t>
      </w:r>
    </w:p>
    <w:p>
      <w:pPr>
        <w:spacing w:after="140" w:before="0" w:line="276"/>
      </w:pPr>
      <w:r>
        <w:rPr>
          <w:rFonts w:ascii="Arial" w:cs="Arial" w:eastAsia="Arial" w:hAnsi="Arial"/>
          <w:color w:val="1E2733"/>
          <w:sz w:val="21"/>
          <w:szCs w:val="21"/>
        </w:rPr>
        <w:t xml:space="preserve">Accordingly, the organization has created an Internal Member Product Program designed to encourage participation, strengthen culture, improve recruiting, and increase long-term retention. Producers who personally utilize the products they represent possess greater confidence, better product knowledge, stronger testimonials, increased credibility, and improved recruiting effectiveness.</w:t>
      </w:r>
    </w:p>
    <w:tbl>
      <w:tblPr>
        <w:tblW w:type="dxa" w:w="9360"/>
        <w:tblBorders>
          <w:top w:val="single" w:color="F7F0DC" w:sz="2"/>
          <w:left w:val="single" w:color="C9A23F" w:sz="30"/>
          <w:bottom w:val="single" w:color="F7F0DC" w:sz="2"/>
          <w:right w:val="single" w:color="F7F0DC" w:sz="2"/>
          <w:insideH w:val="single" w:color="auto" w:sz="4"/>
          <w:insideV w:val="single" w:color="auto" w:sz="4"/>
        </w:tblBorders>
      </w:tblPr>
      <w:tblGrid>
        <w:gridCol w:w="9360"/>
      </w:tblGrid>
      <w:tr>
        <w:tc>
          <w:tcPr>
            <w:tcW w:type="dxa" w:w="9360"/>
            <w:shd w:fill="F7F0DC" w:val="clear"/>
            <w:tcMar>
              <w:top w:type="dxa" w:w="150"/>
              <w:left w:type="dxa" w:w="240"/>
              <w:bottom w:type="dxa" w:w="150"/>
              <w:right w:type="dxa" w:w="220"/>
            </w:tcMar>
          </w:tcPr>
          <w:p>
            <w:pPr>
              <w:spacing w:after="0" w:line="280"/>
            </w:pPr>
            <w:r>
              <w:rPr>
                <w:rFonts w:ascii="Arial" w:cs="Arial" w:eastAsia="Arial" w:hAnsi="Arial"/>
                <w:i/>
                <w:iCs/>
                <w:color w:val="0C2438"/>
                <w:sz w:val="21"/>
                <w:szCs w:val="21"/>
              </w:rPr>
              <w:t xml:space="preserve">Scripts can teach product features. Training can teach positioning. However, personal experience creates conviction — and conviction creates better producers, better recruiters, better cultures, and better organizations.</w:t>
            </w:r>
          </w:p>
        </w:tc>
      </w:tr>
    </w:tbl>
    <w:p>
      <w:pPr>
        <w:keepNext/>
        <w:pBdr>
          <w:bottom w:val="single" w:color="C9A23F" w:sz="10" w:space="6"/>
        </w:pBdr>
        <w:spacing w:after="120" w:before="300"/>
      </w:pPr>
      <w:r>
        <w:rPr>
          <w:rFonts w:ascii="Arial" w:cs="Arial" w:eastAsia="Arial" w:hAnsi="Arial"/>
          <w:b/>
          <w:bCs/>
          <w:color w:val="16395C"/>
          <w:spacing w:val="14"/>
          <w:sz w:val="24"/>
          <w:szCs w:val="24"/>
        </w:rPr>
        <w:t xml:space="preserve">STRATEGIC OBJECTIVES</w:t>
      </w:r>
    </w:p>
    <w:p>
      <w:pPr>
        <w:pStyle w:val="ListParagraph"/>
        <w:numPr>
          <w:ilvl w:val="0"/>
          <w:numId w:val="3"/>
        </w:numPr>
        <w:spacing w:after="56" w:line="268"/>
      </w:pPr>
      <w:r>
        <w:rPr>
          <w:rFonts w:ascii="Arial" w:cs="Arial" w:eastAsia="Arial" w:hAnsi="Arial"/>
          <w:b/>
          <w:bCs/>
          <w:color w:val="0C2438"/>
          <w:sz w:val="21"/>
          <w:szCs w:val="21"/>
        </w:rPr>
        <w:t xml:space="preserve">Product Familiarity — </w:t>
      </w:r>
      <w:r>
        <w:rPr>
          <w:rFonts w:ascii="Arial" w:cs="Arial" w:eastAsia="Arial" w:hAnsi="Arial"/>
          <w:color w:val="1E2733"/>
          <w:sz w:val="21"/>
          <w:szCs w:val="21"/>
        </w:rPr>
        <w:t xml:space="preserve">firsthand experience with the systems available through the Merchant Growth Platform.</w:t>
      </w:r>
    </w:p>
    <w:p>
      <w:pPr>
        <w:pStyle w:val="ListParagraph"/>
        <w:numPr>
          <w:ilvl w:val="0"/>
          <w:numId w:val="3"/>
        </w:numPr>
        <w:spacing w:after="56" w:line="268"/>
      </w:pPr>
      <w:r>
        <w:rPr>
          <w:rFonts w:ascii="Arial" w:cs="Arial" w:eastAsia="Arial" w:hAnsi="Arial"/>
          <w:b/>
          <w:bCs/>
          <w:color w:val="0C2438"/>
          <w:sz w:val="21"/>
          <w:szCs w:val="21"/>
        </w:rPr>
        <w:t xml:space="preserve">Stronger Testimonials — </w:t>
      </w:r>
      <w:r>
        <w:rPr>
          <w:rFonts w:ascii="Arial" w:cs="Arial" w:eastAsia="Arial" w:hAnsi="Arial"/>
          <w:color w:val="1E2733"/>
          <w:sz w:val="21"/>
          <w:szCs w:val="21"/>
        </w:rPr>
        <w:t xml:space="preserve">personal experience creates authentic stories and examples.</w:t>
      </w:r>
    </w:p>
    <w:p>
      <w:pPr>
        <w:pStyle w:val="ListParagraph"/>
        <w:numPr>
          <w:ilvl w:val="0"/>
          <w:numId w:val="3"/>
        </w:numPr>
        <w:spacing w:after="56" w:line="268"/>
      </w:pPr>
      <w:r>
        <w:rPr>
          <w:rFonts w:ascii="Arial" w:cs="Arial" w:eastAsia="Arial" w:hAnsi="Arial"/>
          <w:b/>
          <w:bCs/>
          <w:color w:val="0C2438"/>
          <w:sz w:val="21"/>
          <w:szCs w:val="21"/>
        </w:rPr>
        <w:t xml:space="preserve">Recruiting Advantages — </w:t>
      </w:r>
      <w:r>
        <w:rPr>
          <w:rFonts w:ascii="Arial" w:cs="Arial" w:eastAsia="Arial" w:hAnsi="Arial"/>
          <w:color w:val="1E2733"/>
          <w:sz w:val="21"/>
          <w:szCs w:val="21"/>
        </w:rPr>
        <w:t xml:space="preserve">prospects are attracted to organizations whose members use and believe in the products they represent.</w:t>
      </w:r>
    </w:p>
    <w:p>
      <w:pPr>
        <w:pStyle w:val="ListParagraph"/>
        <w:numPr>
          <w:ilvl w:val="0"/>
          <w:numId w:val="3"/>
        </w:numPr>
        <w:spacing w:after="56" w:line="268"/>
      </w:pPr>
      <w:r>
        <w:rPr>
          <w:rFonts w:ascii="Arial" w:cs="Arial" w:eastAsia="Arial" w:hAnsi="Arial"/>
          <w:b/>
          <w:bCs/>
          <w:color w:val="0C2438"/>
          <w:sz w:val="21"/>
          <w:szCs w:val="21"/>
        </w:rPr>
        <w:t xml:space="preserve">Improved Retention — </w:t>
      </w:r>
      <w:r>
        <w:rPr>
          <w:rFonts w:ascii="Arial" w:cs="Arial" w:eastAsia="Arial" w:hAnsi="Arial"/>
          <w:color w:val="1E2733"/>
          <w:sz w:val="21"/>
          <w:szCs w:val="21"/>
        </w:rPr>
        <w:t xml:space="preserve">participants who derive value from the ecosystem are less likely to leave.</w:t>
      </w:r>
    </w:p>
    <w:p>
      <w:pPr>
        <w:pStyle w:val="ListParagraph"/>
        <w:numPr>
          <w:ilvl w:val="0"/>
          <w:numId w:val="3"/>
        </w:numPr>
        <w:spacing w:after="140" w:line="268"/>
      </w:pPr>
      <w:r>
        <w:rPr>
          <w:rFonts w:ascii="Arial" w:cs="Arial" w:eastAsia="Arial" w:hAnsi="Arial"/>
          <w:b/>
          <w:bCs/>
          <w:color w:val="0C2438"/>
          <w:sz w:val="21"/>
          <w:szCs w:val="21"/>
        </w:rPr>
        <w:t xml:space="preserve">Stronger Culture &amp; Feedback — </w:t>
      </w:r>
      <w:r>
        <w:rPr>
          <w:rFonts w:ascii="Arial" w:cs="Arial" w:eastAsia="Arial" w:hAnsi="Arial"/>
          <w:color w:val="1E2733"/>
          <w:sz w:val="21"/>
          <w:szCs w:val="21"/>
        </w:rPr>
        <w:t xml:space="preserve">shared experiences create identity; internal users provide insights that improve positioning and implementation.</w:t>
      </w:r>
    </w:p>
    <w:p>
      <w:pPr>
        <w:keepNext/>
        <w:pBdr>
          <w:bottom w:val="single" w:color="C9A23F" w:sz="10" w:space="6"/>
        </w:pBdr>
        <w:spacing w:after="120" w:before="300"/>
      </w:pPr>
      <w:r>
        <w:rPr>
          <w:rFonts w:ascii="Arial" w:cs="Arial" w:eastAsia="Arial" w:hAnsi="Arial"/>
          <w:b/>
          <w:bCs/>
          <w:color w:val="16395C"/>
          <w:spacing w:val="14"/>
          <w:sz w:val="24"/>
          <w:szCs w:val="24"/>
        </w:rPr>
        <w:t xml:space="preserve">INTERNAL MEMBER PRICING</w:t>
      </w:r>
    </w:p>
    <w:p>
      <w:pPr>
        <w:spacing w:after="140" w:before="0" w:line="276"/>
      </w:pPr>
      <w:r>
        <w:rPr>
          <w:rFonts w:ascii="Arial" w:cs="Arial" w:eastAsia="Arial" w:hAnsi="Arial"/>
          <w:color w:val="1E2733"/>
          <w:sz w:val="21"/>
          <w:szCs w:val="21"/>
        </w:rPr>
        <w:t xml:space="preserve">LeaderShield members receive preferred pricing unavailable to external merchants. These prices are intentionally positioned between wholesale cost and full retail pricing, creating alignment while preserving attractive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980"/>
        <w:gridCol w:w="2980"/>
      </w:tblGrid>
      <w:tr>
        <w:trPr>
          <w:tblHeader/>
        </w:trPr>
        <w:tc>
          <w:tcPr>
            <w:tcW w:type="dxa" w:w="340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left"/>
            </w:pPr>
            <w:r>
              <w:rPr>
                <w:rFonts w:ascii="Arial" w:cs="Arial" w:eastAsia="Arial" w:hAnsi="Arial"/>
                <w:b/>
                <w:bCs/>
                <w:color w:val="FFFFFF"/>
                <w:spacing w:val="6"/>
                <w:sz w:val="19"/>
                <w:szCs w:val="19"/>
              </w:rPr>
              <w:t xml:space="preserve">Product</w:t>
            </w:r>
          </w:p>
        </w:tc>
        <w:tc>
          <w:tcPr>
            <w:tcW w:type="dxa" w:w="298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center"/>
            </w:pPr>
            <w:r>
              <w:rPr>
                <w:rFonts w:ascii="Arial" w:cs="Arial" w:eastAsia="Arial" w:hAnsi="Arial"/>
                <w:b/>
                <w:bCs/>
                <w:color w:val="FFFFFF"/>
                <w:spacing w:val="6"/>
                <w:sz w:val="19"/>
                <w:szCs w:val="19"/>
              </w:rPr>
              <w:t xml:space="preserve">Retail Price</w:t>
            </w:r>
          </w:p>
        </w:tc>
        <w:tc>
          <w:tcPr>
            <w:tcW w:type="dxa" w:w="298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center"/>
            </w:pPr>
            <w:r>
              <w:rPr>
                <w:rFonts w:ascii="Arial" w:cs="Arial" w:eastAsia="Arial" w:hAnsi="Arial"/>
                <w:b/>
                <w:bCs/>
                <w:color w:val="FFFFFF"/>
                <w:spacing w:val="6"/>
                <w:sz w:val="19"/>
                <w:szCs w:val="19"/>
              </w:rPr>
              <w:t xml:space="preserve">Internal Member Price</w:t>
            </w:r>
          </w:p>
        </w:tc>
      </w:tr>
      <w:tr>
        <w:tc>
          <w:tcPr>
            <w:tcW w:type="dxa" w:w="34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Starter</w:t>
            </w:r>
          </w:p>
        </w:tc>
        <w:tc>
          <w:tcPr>
            <w:tcW w:type="dxa" w:w="298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$149</w:t>
            </w:r>
          </w:p>
        </w:tc>
        <w:tc>
          <w:tcPr>
            <w:tcW w:type="dxa" w:w="298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$99</w:t>
            </w:r>
          </w:p>
        </w:tc>
      </w:tr>
      <w:tr>
        <w:tc>
          <w:tcPr>
            <w:tcW w:type="dxa" w:w="34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Growth Foundation</w:t>
            </w:r>
          </w:p>
        </w:tc>
        <w:tc>
          <w:tcPr>
            <w:tcW w:type="dxa" w:w="298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$497</w:t>
            </w:r>
          </w:p>
        </w:tc>
        <w:tc>
          <w:tcPr>
            <w:tcW w:type="dxa" w:w="298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$249</w:t>
            </w:r>
          </w:p>
        </w:tc>
      </w:tr>
      <w:tr>
        <w:tc>
          <w:tcPr>
            <w:tcW w:type="dxa" w:w="34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Revenue Growth System</w:t>
            </w:r>
          </w:p>
        </w:tc>
        <w:tc>
          <w:tcPr>
            <w:tcW w:type="dxa" w:w="298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$997</w:t>
            </w:r>
          </w:p>
        </w:tc>
        <w:tc>
          <w:tcPr>
            <w:tcW w:type="dxa" w:w="298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$449</w:t>
            </w:r>
          </w:p>
        </w:tc>
      </w:tr>
      <w:tr>
        <w:tc>
          <w:tcPr>
            <w:tcW w:type="dxa" w:w="34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Revenue Scale AI</w:t>
            </w:r>
          </w:p>
        </w:tc>
        <w:tc>
          <w:tcPr>
            <w:tcW w:type="dxa" w:w="298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$1,497</w:t>
            </w:r>
          </w:p>
        </w:tc>
        <w:tc>
          <w:tcPr>
            <w:tcW w:type="dxa" w:w="298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$899</w:t>
            </w:r>
          </w:p>
        </w:tc>
      </w:tr>
    </w:tbl>
    <w:p>
      <w:pPr>
        <w:spacing w:after="40"/>
      </w:pPr>
      <w:r>
        <w:rPr>
          <w:rFonts w:ascii="Arial" w:cs="Arial" w:eastAsia="Arial" w:hAnsi="Arial"/>
        </w:rPr>
        <w:t xml:space="preserve"/>
      </w:r>
    </w:p>
    <w:p>
      <w:pPr>
        <w:keepNext/>
        <w:pBdr>
          <w:bottom w:val="single" w:color="C9A23F" w:sz="10" w:space="6"/>
        </w:pBdr>
        <w:spacing w:after="120" w:before="300"/>
      </w:pPr>
      <w:r>
        <w:rPr>
          <w:rFonts w:ascii="Arial" w:cs="Arial" w:eastAsia="Arial" w:hAnsi="Arial"/>
          <w:b/>
          <w:bCs/>
          <w:color w:val="16395C"/>
          <w:spacing w:val="14"/>
          <w:sz w:val="24"/>
          <w:szCs w:val="24"/>
        </w:rPr>
        <w:t xml:space="preserve">MARGIN PHILOSOPHY</w:t>
      </w:r>
    </w:p>
    <w:p>
      <w:pPr>
        <w:spacing w:after="140" w:before="0" w:line="276"/>
      </w:pPr>
      <w:r>
        <w:rPr>
          <w:rFonts w:ascii="Arial" w:cs="Arial" w:eastAsia="Arial" w:hAnsi="Arial"/>
          <w:color w:val="1E2733"/>
          <w:sz w:val="21"/>
          <w:szCs w:val="21"/>
        </w:rPr>
        <w:t xml:space="preserve">Internal pricing is intentionally higher than wholesale cost; management does not seek to sell products at cost. The objective is to maintain healthy economics while still providing meaningful value to members, creating positive contribution margins, sustainable economics, member benefits, and long-term alignment. Management believes that moderate margins combined with strong culture produce superior outcomes compared to offering products at cost.</w:t>
      </w:r>
    </w:p>
    <w:p>
      <w:r>
        <w:br w:type="page"/>
      </w:r>
    </w:p>
    <w:p>
      <w:pPr>
        <w:spacing w:after="380"/>
      </w:pPr>
      <w:r>
        <w:rPr>
          <w:rFonts w:ascii="Arial" w:cs="Arial" w:eastAsia="Arial" w:hAnsi="Arial"/>
        </w:rPr>
        <w:t xml:space="preserve"/>
      </w:r>
    </w:p>
    <w:p>
      <w:pPr>
        <w:spacing w:after="0"/>
        <w:jc w:val="left"/>
      </w:pPr>
      <w:r>
        <w:rPr>
          <w:rFonts w:ascii="Arial" w:cs="Arial" w:eastAsia="Arial" w:hAnsi="Arial"/>
          <w:b/>
          <w:bCs/>
          <w:color w:val="9A7A28"/>
          <w:spacing w:val="60"/>
          <w:sz w:val="20"/>
          <w:szCs w:val="20"/>
        </w:rPr>
        <w:t xml:space="preserve">SECTION</w:t>
      </w:r>
    </w:p>
    <w:p>
      <w:pPr>
        <w:spacing w:after="60"/>
        <w:jc w:val="left"/>
      </w:pPr>
      <w:r>
        <w:rPr>
          <w:rFonts w:ascii="Georgia" w:cs="Georgia" w:eastAsia="Georgia" w:hAnsi="Georgia"/>
          <w:b/>
          <w:bCs/>
          <w:color w:val="16395C"/>
          <w:sz w:val="150"/>
          <w:szCs w:val="150"/>
        </w:rPr>
        <w:t xml:space="preserve">12</w:t>
      </w:r>
    </w:p>
    <w:p>
      <w:pPr>
        <w:pBdr>
          <w:bottom w:val="single" w:color="C9A23F" w:sz="20" w:space="10"/>
        </w:pBdr>
        <w:spacing w:after="160"/>
      </w:pPr>
      <w:r>
        <w:rPr>
          <w:rFonts w:ascii="Georgia" w:cs="Georgia" w:eastAsia="Georgia" w:hAnsi="Georgia"/>
          <w:b/>
          <w:bCs/>
          <w:color w:val="0C2438"/>
          <w:sz w:val="40"/>
          <w:szCs w:val="40"/>
        </w:rPr>
        <w:t xml:space="preserve">Blended Income &amp; Producer Economic Models</w:t>
      </w:r>
    </w:p>
    <w:p>
      <w:pPr>
        <w:spacing w:after="260"/>
      </w:pPr>
      <w:r>
        <w:rPr>
          <w:rFonts w:ascii="Arial" w:cs="Arial" w:eastAsia="Arial" w:hAnsi="Arial"/>
          <w:i/>
          <w:iCs/>
          <w:color w:val="2E6E9E"/>
          <w:sz w:val="24"/>
          <w:szCs w:val="24"/>
        </w:rPr>
        <w:t xml:space="preserve">Many paths to success — illustrating how different producers participate economically.</w:t>
      </w:r>
    </w:p>
    <w:p>
      <w:pPr>
        <w:spacing w:after="80" w:before="120"/>
      </w:pPr>
      <w:r>
        <w:rPr>
          <w:rFonts w:ascii="Arial" w:cs="Arial" w:eastAsia="Arial" w:hAnsi="Arial"/>
          <w:b/>
          <w:bCs/>
          <w:color w:val="5C6675"/>
          <w:spacing w:val="24"/>
          <w:sz w:val="16"/>
          <w:szCs w:val="16"/>
        </w:rPr>
        <w:t xml:space="preserve">IN THIS SECTION</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Subscription-only &amp; MCA-only producers</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Balanced producer &amp; Elite distributor</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Agency owner &amp; large organization leader</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Enterprise alignment</w:t>
      </w:r>
    </w:p>
    <w:p>
      <w:r>
        <w:br w:type="page"/>
      </w:r>
    </w:p>
    <w:p>
      <w:pPr>
        <w:spacing w:after="200" w:line="300"/>
      </w:pPr>
      <w:r>
        <w:rPr>
          <w:rFonts w:ascii="Arial" w:cs="Arial" w:eastAsia="Arial" w:hAnsi="Arial"/>
          <w:color w:val="16395C"/>
          <w:sz w:val="23"/>
          <w:szCs w:val="23"/>
        </w:rPr>
        <w:t xml:space="preserve">LeaderShield has been intentionally designed around multiple economic engines. Management believes that diversified income streams create greater producer stability, stronger retention, better recruiting, and higher enterprise value.</w:t>
      </w:r>
    </w:p>
    <w:tbl>
      <w:tblPr>
        <w:tblW w:type="dxa" w:w="9360"/>
        <w:tblBorders>
          <w:top w:val="single" w:color="EAF0F6" w:sz="2"/>
          <w:left w:val="single" w:color="2E6E9E" w:sz="30"/>
          <w:bottom w:val="single" w:color="EAF0F6" w:sz="2"/>
          <w:right w:val="single" w:color="EAF0F6" w:sz="2"/>
          <w:insideH w:val="single" w:color="auto" w:sz="4"/>
          <w:insideV w:val="single" w:color="auto" w:sz="4"/>
        </w:tblBorders>
      </w:tblPr>
      <w:tblGrid>
        <w:gridCol w:w="9360"/>
      </w:tblGrid>
      <w:tr>
        <w:tc>
          <w:tcPr>
            <w:tcW w:type="dxa" w:w="9360"/>
            <w:shd w:fill="EAF0F6" w:val="clear"/>
            <w:tcMar>
              <w:top w:type="dxa" w:w="150"/>
              <w:left w:type="dxa" w:w="240"/>
              <w:bottom w:type="dxa" w:w="150"/>
              <w:right w:type="dxa" w:w="220"/>
            </w:tcMar>
          </w:tcPr>
          <w:p>
            <w:pPr>
              <w:spacing w:after="60"/>
            </w:pPr>
            <w:r>
              <w:rPr>
                <w:rFonts w:ascii="Arial" w:cs="Arial" w:eastAsia="Arial" w:hAnsi="Arial"/>
                <w:b/>
                <w:bCs/>
                <w:color w:val="2E6E9E"/>
                <w:spacing w:val="18"/>
                <w:sz w:val="17"/>
                <w:szCs w:val="17"/>
              </w:rPr>
              <w:t xml:space="preserve">IMPORTANT</w:t>
            </w:r>
          </w:p>
          <w:p>
            <w:pPr>
              <w:spacing w:after="0" w:line="280"/>
            </w:pPr>
            <w:r>
              <w:rPr>
                <w:rFonts w:ascii="Arial" w:cs="Arial" w:eastAsia="Arial" w:hAnsi="Arial"/>
                <w:i w:val="false"/>
                <w:iCs w:val="false"/>
                <w:color w:val="0C2438"/>
                <w:sz w:val="21"/>
                <w:szCs w:val="21"/>
              </w:rPr>
              <w:t xml:space="preserve">All examples are hypothetical and intended for illustrative purposes only. They are not guarantees. The objective is to illustrate how different types of producers may participate economically within the ecosystem.</w:t>
            </w:r>
          </w:p>
        </w:tc>
      </w:tr>
    </w:tbl>
    <w:p>
      <w:pPr>
        <w:spacing w:after="10" w:before="60"/>
      </w:pPr>
      <w:r>
        <w:rPr>
          <w:rFonts w:ascii="Arial" w:cs="Arial" w:eastAsia="Arial" w:hAnsi="Arial"/>
          <w:b/>
          <w:bCs/>
          <w:color w:val="9A7A28"/>
          <w:spacing w:val="26"/>
          <w:sz w:val="17"/>
          <w:szCs w:val="17"/>
        </w:rPr>
        <w:t xml:space="preserve">MODEL ONE</w:t>
      </w:r>
    </w:p>
    <w:p>
      <w:pPr>
        <w:keepNext/>
        <w:pBdr>
          <w:bottom w:val="single" w:color="C9A23F" w:sz="8" w:space="4"/>
        </w:pBdr>
        <w:spacing w:after="90"/>
      </w:pPr>
      <w:r>
        <w:rPr>
          <w:rFonts w:ascii="Georgia" w:cs="Georgia" w:eastAsia="Georgia" w:hAnsi="Georgia"/>
          <w:b/>
          <w:bCs/>
          <w:color w:val="0C2438"/>
          <w:sz w:val="30"/>
          <w:szCs w:val="30"/>
        </w:rPr>
        <w:t xml:space="preserve">Subscription-Only Producer</w:t>
      </w:r>
    </w:p>
    <w:p>
      <w:pPr>
        <w:spacing w:after="140" w:before="0" w:line="276"/>
      </w:pPr>
      <w:r>
        <w:rPr>
          <w:rFonts w:ascii="Arial" w:cs="Arial" w:eastAsia="Arial" w:hAnsi="Arial"/>
          <w:color w:val="1E2733"/>
          <w:sz w:val="21"/>
          <w:szCs w:val="21"/>
        </w:rPr>
        <w:t xml:space="preserve">Certain producers focus exclusively upon the Merchant Growth Platform, preferring recurring income, avoiding transactional sales, and emphasizing relationship development.</w:t>
      </w:r>
    </w:p>
    <w:p>
      <w:pPr>
        <w:keepNext/>
        <w:spacing w:after="40" w:before="160"/>
      </w:pPr>
      <w:r>
        <w:rPr>
          <w:rFonts w:ascii="Arial" w:cs="Arial" w:eastAsia="Arial" w:hAnsi="Arial"/>
          <w:b/>
          <w:bCs/>
          <w:color w:val="9A7A28"/>
          <w:spacing w:val="26"/>
          <w:sz w:val="17"/>
          <w:szCs w:val="17"/>
        </w:rPr>
        <w:t xml:space="preserve">ASSUMPTIONS</w:t>
      </w:r>
    </w:p>
    <w:p>
      <w:pPr>
        <w:pStyle w:val="ListParagraph"/>
        <w:numPr>
          <w:ilvl w:val="0"/>
          <w:numId w:val="3"/>
        </w:numPr>
        <w:spacing w:after="56" w:line="268"/>
      </w:pPr>
      <w:r>
        <w:rPr>
          <w:rFonts w:ascii="Arial" w:cs="Arial" w:eastAsia="Arial" w:hAnsi="Arial"/>
          <w:color w:val="1E2733"/>
          <w:sz w:val="21"/>
          <w:szCs w:val="21"/>
        </w:rPr>
        <w:t xml:space="preserve">Ten active subscriptions (2 Starter, 3 Growth Foundation, 4 Revenue Growth System, 1 Revenue Scale AI)</w:t>
      </w:r>
    </w:p>
    <w:p>
      <w:pPr>
        <w:pStyle w:val="ListParagraph"/>
        <w:numPr>
          <w:ilvl w:val="0"/>
          <w:numId w:val="3"/>
        </w:numPr>
        <w:spacing w:after="120" w:line="268"/>
      </w:pPr>
      <w:r>
        <w:rPr>
          <w:rFonts w:ascii="Arial" w:cs="Arial" w:eastAsia="Arial" w:hAnsi="Arial"/>
          <w:color w:val="1E2733"/>
          <w:sz w:val="21"/>
          <w:szCs w:val="21"/>
        </w:rPr>
        <w:t xml:space="preserve">Enhanced distributor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9A23F" w:sz="6"/>
              <w:left w:val="single" w:color="0C2438" w:sz="2"/>
              <w:bottom w:val="single" w:color="C9A23F" w:sz="6"/>
              <w:right w:val="single" w:color="0C2438" w:sz="2"/>
            </w:tcBorders>
            <w:shd w:fill="16395C" w:val="clear"/>
            <w:tcMar>
              <w:top w:type="dxa" w:w="120"/>
              <w:left w:type="dxa" w:w="80"/>
              <w:bottom w:type="dxa" w:w="120"/>
              <w:right w:type="dxa" w:w="80"/>
            </w:tcMar>
            <w:vAlign w:val="center"/>
          </w:tcPr>
          <w:p>
            <w:pPr>
              <w:spacing w:after="30"/>
              <w:jc w:val="center"/>
            </w:pPr>
            <w:r>
              <w:rPr>
                <w:rFonts w:ascii="Georgia" w:cs="Georgia" w:eastAsia="Georgia" w:hAnsi="Georgia"/>
                <w:b/>
                <w:bCs/>
                <w:color w:val="C9A23F"/>
                <w:sz w:val="32"/>
                <w:szCs w:val="32"/>
              </w:rPr>
              <w:t xml:space="preserve">~$7,300</w:t>
            </w:r>
          </w:p>
          <w:p>
            <w:pPr>
              <w:spacing w:after="0"/>
              <w:jc w:val="center"/>
            </w:pPr>
            <w:r>
              <w:rPr>
                <w:rFonts w:ascii="Arial" w:cs="Arial" w:eastAsia="Arial" w:hAnsi="Arial"/>
                <w:b/>
                <w:bCs/>
                <w:color w:val="FFFFFF"/>
                <w:spacing w:val="14"/>
                <w:sz w:val="15"/>
                <w:szCs w:val="15"/>
              </w:rPr>
              <w:t xml:space="preserve">MONTHLY RECURRING REV.</w:t>
            </w:r>
          </w:p>
        </w:tc>
        <w:tc>
          <w:tcPr>
            <w:tcW w:type="dxa" w:w="3120"/>
            <w:tcBorders>
              <w:top w:val="single" w:color="C9A23F" w:sz="6"/>
              <w:left w:val="single" w:color="0C2438" w:sz="2"/>
              <w:bottom w:val="single" w:color="C9A23F" w:sz="6"/>
              <w:right w:val="single" w:color="0C2438" w:sz="2"/>
            </w:tcBorders>
            <w:shd w:fill="0C2438" w:val="clear"/>
            <w:tcMar>
              <w:top w:type="dxa" w:w="120"/>
              <w:left w:type="dxa" w:w="80"/>
              <w:bottom w:type="dxa" w:w="120"/>
              <w:right w:type="dxa" w:w="80"/>
            </w:tcMar>
            <w:vAlign w:val="center"/>
          </w:tcPr>
          <w:p>
            <w:pPr>
              <w:spacing w:after="30"/>
              <w:jc w:val="center"/>
            </w:pPr>
            <w:r>
              <w:rPr>
                <w:rFonts w:ascii="Georgia" w:cs="Georgia" w:eastAsia="Georgia" w:hAnsi="Georgia"/>
                <w:b/>
                <w:bCs/>
                <w:color w:val="C9A23F"/>
                <w:sz w:val="32"/>
                <w:szCs w:val="32"/>
              </w:rPr>
              <w:t xml:space="preserve">~$3,000</w:t>
            </w:r>
          </w:p>
          <w:p>
            <w:pPr>
              <w:spacing w:after="0"/>
              <w:jc w:val="center"/>
            </w:pPr>
            <w:r>
              <w:rPr>
                <w:rFonts w:ascii="Arial" w:cs="Arial" w:eastAsia="Arial" w:hAnsi="Arial"/>
                <w:b/>
                <w:bCs/>
                <w:color w:val="FFFFFF"/>
                <w:spacing w:val="14"/>
                <w:sz w:val="15"/>
                <w:szCs w:val="15"/>
              </w:rPr>
              <w:t xml:space="preserve">MONTHLY COMMISSION</w:t>
            </w:r>
          </w:p>
        </w:tc>
        <w:tc>
          <w:tcPr>
            <w:tcW w:type="dxa" w:w="3120"/>
            <w:tcBorders>
              <w:top w:val="single" w:color="C9A23F" w:sz="6"/>
              <w:left w:val="single" w:color="0C2438" w:sz="2"/>
              <w:bottom w:val="single" w:color="C9A23F" w:sz="6"/>
              <w:right w:val="single" w:color="0C2438" w:sz="2"/>
            </w:tcBorders>
            <w:shd w:fill="16395C" w:val="clear"/>
            <w:tcMar>
              <w:top w:type="dxa" w:w="120"/>
              <w:left w:type="dxa" w:w="80"/>
              <w:bottom w:type="dxa" w:w="120"/>
              <w:right w:type="dxa" w:w="80"/>
            </w:tcMar>
            <w:vAlign w:val="center"/>
          </w:tcPr>
          <w:p>
            <w:pPr>
              <w:spacing w:after="30"/>
              <w:jc w:val="center"/>
            </w:pPr>
            <w:r>
              <w:rPr>
                <w:rFonts w:ascii="Georgia" w:cs="Georgia" w:eastAsia="Georgia" w:hAnsi="Georgia"/>
                <w:b/>
                <w:bCs/>
                <w:color w:val="C9A23F"/>
                <w:sz w:val="32"/>
                <w:szCs w:val="32"/>
              </w:rPr>
              <w:t xml:space="preserve">~$36,000</w:t>
            </w:r>
          </w:p>
          <w:p>
            <w:pPr>
              <w:spacing w:after="0"/>
              <w:jc w:val="center"/>
            </w:pPr>
            <w:r>
              <w:rPr>
                <w:rFonts w:ascii="Arial" w:cs="Arial" w:eastAsia="Arial" w:hAnsi="Arial"/>
                <w:b/>
                <w:bCs/>
                <w:color w:val="FFFFFF"/>
                <w:spacing w:val="14"/>
                <w:sz w:val="15"/>
                <w:szCs w:val="15"/>
              </w:rPr>
              <w:t xml:space="preserve">ANNUALIZED</w:t>
            </w:r>
          </w:p>
        </w:tc>
      </w:tr>
    </w:tbl>
    <w:p>
      <w:pPr>
        <w:spacing w:after="24"/>
      </w:pPr>
      <w:r>
        <w:rPr>
          <w:rFonts w:ascii="Arial" w:cs="Arial" w:eastAsia="Arial" w:hAnsi="Arial"/>
        </w:rPr>
        <w:t xml:space="preserve"/>
      </w:r>
    </w:p>
    <w:p>
      <w:pPr>
        <w:spacing w:after="140" w:before="0" w:line="276"/>
      </w:pPr>
      <w:r>
        <w:rPr>
          <w:rFonts w:ascii="Arial" w:cs="Arial" w:eastAsia="Arial" w:hAnsi="Arial"/>
          <w:b/>
          <w:bCs/>
          <w:color w:val="0C2438"/>
          <w:sz w:val="21"/>
          <w:szCs w:val="21"/>
        </w:rPr>
        <w:t xml:space="preserve">Strategic characteristics:  </w:t>
      </w:r>
      <w:r>
        <w:rPr>
          <w:rFonts w:ascii="Arial" w:cs="Arial" w:eastAsia="Arial" w:hAnsi="Arial"/>
          <w:color w:val="1E2733"/>
          <w:sz w:val="21"/>
          <w:szCs w:val="21"/>
        </w:rPr>
        <w:t xml:space="preserve">Strong residual growth, lower volatility, and greater predictability.</w:t>
      </w:r>
    </w:p>
    <w:p>
      <w:pPr>
        <w:spacing w:after="10" w:before="320"/>
      </w:pPr>
      <w:r>
        <w:rPr>
          <w:rFonts w:ascii="Arial" w:cs="Arial" w:eastAsia="Arial" w:hAnsi="Arial"/>
          <w:b/>
          <w:bCs/>
          <w:color w:val="9A7A28"/>
          <w:spacing w:val="26"/>
          <w:sz w:val="17"/>
          <w:szCs w:val="17"/>
        </w:rPr>
        <w:t xml:space="preserve">MODEL TWO</w:t>
      </w:r>
    </w:p>
    <w:p>
      <w:pPr>
        <w:keepNext/>
        <w:pBdr>
          <w:bottom w:val="single" w:color="C9A23F" w:sz="8" w:space="4"/>
        </w:pBdr>
        <w:spacing w:after="90"/>
      </w:pPr>
      <w:r>
        <w:rPr>
          <w:rFonts w:ascii="Georgia" w:cs="Georgia" w:eastAsia="Georgia" w:hAnsi="Georgia"/>
          <w:b/>
          <w:bCs/>
          <w:color w:val="0C2438"/>
          <w:sz w:val="30"/>
          <w:szCs w:val="30"/>
        </w:rPr>
        <w:t xml:space="preserve">MCA-Only Producer</w:t>
      </w:r>
    </w:p>
    <w:p>
      <w:pPr>
        <w:spacing w:after="140" w:before="0" w:line="276"/>
      </w:pPr>
      <w:r>
        <w:rPr>
          <w:rFonts w:ascii="Arial" w:cs="Arial" w:eastAsia="Arial" w:hAnsi="Arial"/>
          <w:color w:val="1E2733"/>
          <w:sz w:val="21"/>
          <w:szCs w:val="21"/>
        </w:rPr>
        <w:t xml:space="preserve">Certain producers prefer transactional opportunities, focusing exclusively upon merchant funding.</w:t>
      </w:r>
    </w:p>
    <w:p>
      <w:pPr>
        <w:keepNext/>
        <w:spacing w:after="40" w:before="160"/>
      </w:pPr>
      <w:r>
        <w:rPr>
          <w:rFonts w:ascii="Arial" w:cs="Arial" w:eastAsia="Arial" w:hAnsi="Arial"/>
          <w:b/>
          <w:bCs/>
          <w:color w:val="9A7A28"/>
          <w:spacing w:val="26"/>
          <w:sz w:val="17"/>
          <w:szCs w:val="17"/>
        </w:rPr>
        <w:t xml:space="preserve">ASSUMPTIONS</w:t>
      </w:r>
    </w:p>
    <w:p>
      <w:pPr>
        <w:pStyle w:val="ListParagraph"/>
        <w:numPr>
          <w:ilvl w:val="0"/>
          <w:numId w:val="3"/>
        </w:numPr>
        <w:spacing w:after="56" w:line="268"/>
      </w:pPr>
      <w:r>
        <w:rPr>
          <w:rFonts w:ascii="Arial" w:cs="Arial" w:eastAsia="Arial" w:hAnsi="Arial"/>
          <w:color w:val="1E2733"/>
          <w:sz w:val="21"/>
          <w:szCs w:val="21"/>
        </w:rPr>
        <w:t xml:space="preserve">Monthly funded volume of $300,000</w:t>
      </w:r>
    </w:p>
    <w:p>
      <w:pPr>
        <w:pStyle w:val="ListParagraph"/>
        <w:numPr>
          <w:ilvl w:val="0"/>
          <w:numId w:val="3"/>
        </w:numPr>
        <w:spacing w:after="56" w:line="268"/>
      </w:pPr>
      <w:r>
        <w:rPr>
          <w:rFonts w:ascii="Arial" w:cs="Arial" w:eastAsia="Arial" w:hAnsi="Arial"/>
          <w:color w:val="1E2733"/>
          <w:sz w:val="21"/>
          <w:szCs w:val="21"/>
        </w:rPr>
        <w:t xml:space="preserve">Industry-average commission of 12% — $36,000 gross commission generated</w:t>
      </w:r>
    </w:p>
    <w:p>
      <w:pPr>
        <w:pStyle w:val="ListParagraph"/>
        <w:numPr>
          <w:ilvl w:val="0"/>
          <w:numId w:val="3"/>
        </w:numPr>
        <w:spacing w:after="120" w:line="268"/>
      </w:pPr>
      <w:r>
        <w:rPr>
          <w:rFonts w:ascii="Arial" w:cs="Arial" w:eastAsia="Arial" w:hAnsi="Arial"/>
          <w:color w:val="1E2733"/>
          <w:sz w:val="21"/>
          <w:szCs w:val="21"/>
        </w:rPr>
        <w:t xml:space="preserve">Opening pool 32.5% plus 1% performance accelerator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9A23F" w:sz="6"/>
              <w:left w:val="single" w:color="0C2438" w:sz="2"/>
              <w:bottom w:val="single" w:color="C9A23F" w:sz="6"/>
              <w:right w:val="single" w:color="0C2438" w:sz="2"/>
            </w:tcBorders>
            <w:shd w:fill="16395C" w:val="clear"/>
            <w:tcMar>
              <w:top w:type="dxa" w:w="120"/>
              <w:left w:type="dxa" w:w="80"/>
              <w:bottom w:type="dxa" w:w="120"/>
              <w:right w:type="dxa" w:w="80"/>
            </w:tcMar>
            <w:vAlign w:val="center"/>
          </w:tcPr>
          <w:p>
            <w:pPr>
              <w:spacing w:after="30"/>
              <w:jc w:val="center"/>
            </w:pPr>
            <w:r>
              <w:rPr>
                <w:rFonts w:ascii="Georgia" w:cs="Georgia" w:eastAsia="Georgia" w:hAnsi="Georgia"/>
                <w:b/>
                <w:bCs/>
                <w:color w:val="C9A23F"/>
                <w:sz w:val="32"/>
                <w:szCs w:val="32"/>
              </w:rPr>
              <w:t xml:space="preserve">~$12,000</w:t>
            </w:r>
          </w:p>
          <w:p>
            <w:pPr>
              <w:spacing w:after="0"/>
              <w:jc w:val="center"/>
            </w:pPr>
            <w:r>
              <w:rPr>
                <w:rFonts w:ascii="Arial" w:cs="Arial" w:eastAsia="Arial" w:hAnsi="Arial"/>
                <w:b/>
                <w:bCs/>
                <w:color w:val="FFFFFF"/>
                <w:spacing w:val="14"/>
                <w:sz w:val="15"/>
                <w:szCs w:val="15"/>
              </w:rPr>
              <w:t xml:space="preserve">MONTHLY COMPENSATION</w:t>
            </w:r>
          </w:p>
        </w:tc>
        <w:tc>
          <w:tcPr>
            <w:tcW w:type="dxa" w:w="3120"/>
            <w:tcBorders>
              <w:top w:val="single" w:color="C9A23F" w:sz="6"/>
              <w:left w:val="single" w:color="0C2438" w:sz="2"/>
              <w:bottom w:val="single" w:color="C9A23F" w:sz="6"/>
              <w:right w:val="single" w:color="0C2438" w:sz="2"/>
            </w:tcBorders>
            <w:shd w:fill="0C2438" w:val="clear"/>
            <w:tcMar>
              <w:top w:type="dxa" w:w="120"/>
              <w:left w:type="dxa" w:w="80"/>
              <w:bottom w:type="dxa" w:w="120"/>
              <w:right w:type="dxa" w:w="80"/>
            </w:tcMar>
            <w:vAlign w:val="center"/>
          </w:tcPr>
          <w:p>
            <w:pPr>
              <w:spacing w:after="30"/>
              <w:jc w:val="center"/>
            </w:pPr>
            <w:r>
              <w:rPr>
                <w:rFonts w:ascii="Georgia" w:cs="Georgia" w:eastAsia="Georgia" w:hAnsi="Georgia"/>
                <w:b/>
                <w:bCs/>
                <w:color w:val="C9A23F"/>
                <w:sz w:val="32"/>
                <w:szCs w:val="32"/>
              </w:rPr>
              <w:t xml:space="preserve">12%</w:t>
            </w:r>
          </w:p>
          <w:p>
            <w:pPr>
              <w:spacing w:after="0"/>
              <w:jc w:val="center"/>
            </w:pPr>
            <w:r>
              <w:rPr>
                <w:rFonts w:ascii="Arial" w:cs="Arial" w:eastAsia="Arial" w:hAnsi="Arial"/>
                <w:b/>
                <w:bCs/>
                <w:color w:val="FFFFFF"/>
                <w:spacing w:val="14"/>
                <w:sz w:val="15"/>
                <w:szCs w:val="15"/>
              </w:rPr>
              <w:t xml:space="preserve">ASSUMED COMMISSION</w:t>
            </w:r>
          </w:p>
        </w:tc>
        <w:tc>
          <w:tcPr>
            <w:tcW w:type="dxa" w:w="3120"/>
            <w:tcBorders>
              <w:top w:val="single" w:color="C9A23F" w:sz="6"/>
              <w:left w:val="single" w:color="0C2438" w:sz="2"/>
              <w:bottom w:val="single" w:color="C9A23F" w:sz="6"/>
              <w:right w:val="single" w:color="0C2438" w:sz="2"/>
            </w:tcBorders>
            <w:shd w:fill="16395C" w:val="clear"/>
            <w:tcMar>
              <w:top w:type="dxa" w:w="120"/>
              <w:left w:type="dxa" w:w="80"/>
              <w:bottom w:type="dxa" w:w="120"/>
              <w:right w:type="dxa" w:w="80"/>
            </w:tcMar>
            <w:vAlign w:val="center"/>
          </w:tcPr>
          <w:p>
            <w:pPr>
              <w:spacing w:after="30"/>
              <w:jc w:val="center"/>
            </w:pPr>
            <w:r>
              <w:rPr>
                <w:rFonts w:ascii="Georgia" w:cs="Georgia" w:eastAsia="Georgia" w:hAnsi="Georgia"/>
                <w:b/>
                <w:bCs/>
                <w:color w:val="C9A23F"/>
                <w:sz w:val="32"/>
                <w:szCs w:val="32"/>
              </w:rPr>
              <w:t xml:space="preserve">~$144,000</w:t>
            </w:r>
          </w:p>
          <w:p>
            <w:pPr>
              <w:spacing w:after="0"/>
              <w:jc w:val="center"/>
            </w:pPr>
            <w:r>
              <w:rPr>
                <w:rFonts w:ascii="Arial" w:cs="Arial" w:eastAsia="Arial" w:hAnsi="Arial"/>
                <w:b/>
                <w:bCs/>
                <w:color w:val="FFFFFF"/>
                <w:spacing w:val="14"/>
                <w:sz w:val="15"/>
                <w:szCs w:val="15"/>
              </w:rPr>
              <w:t xml:space="preserve">ANNUALIZED</w:t>
            </w:r>
          </w:p>
        </w:tc>
      </w:tr>
    </w:tbl>
    <w:p>
      <w:pPr>
        <w:spacing w:after="24"/>
      </w:pPr>
      <w:r>
        <w:rPr>
          <w:rFonts w:ascii="Arial" w:cs="Arial" w:eastAsia="Arial" w:hAnsi="Arial"/>
        </w:rPr>
        <w:t xml:space="preserve"/>
      </w:r>
    </w:p>
    <w:p>
      <w:pPr>
        <w:spacing w:after="140" w:before="0" w:line="276"/>
      </w:pPr>
      <w:r>
        <w:rPr>
          <w:rFonts w:ascii="Arial" w:cs="Arial" w:eastAsia="Arial" w:hAnsi="Arial"/>
          <w:b/>
          <w:bCs/>
          <w:color w:val="0C2438"/>
          <w:sz w:val="21"/>
          <w:szCs w:val="21"/>
        </w:rPr>
        <w:t xml:space="preserve">Strategic characteristics:  </w:t>
      </w:r>
      <w:r>
        <w:rPr>
          <w:rFonts w:ascii="Arial" w:cs="Arial" w:eastAsia="Arial" w:hAnsi="Arial"/>
          <w:color w:val="1E2733"/>
          <w:sz w:val="21"/>
          <w:szCs w:val="21"/>
        </w:rPr>
        <w:t xml:space="preserve">Higher volatility, immediate cash flow, and limited residual income.</w:t>
      </w:r>
    </w:p>
    <w:p>
      <w:pPr>
        <w:spacing w:after="10" w:before="320"/>
      </w:pPr>
      <w:r>
        <w:rPr>
          <w:rFonts w:ascii="Arial" w:cs="Arial" w:eastAsia="Arial" w:hAnsi="Arial"/>
          <w:b/>
          <w:bCs/>
          <w:color w:val="9A7A28"/>
          <w:spacing w:val="26"/>
          <w:sz w:val="17"/>
          <w:szCs w:val="17"/>
        </w:rPr>
        <w:t xml:space="preserve">MODEL THREE</w:t>
      </w:r>
    </w:p>
    <w:p>
      <w:pPr>
        <w:keepNext/>
        <w:pBdr>
          <w:bottom w:val="single" w:color="C9A23F" w:sz="8" w:space="4"/>
        </w:pBdr>
        <w:spacing w:after="90"/>
      </w:pPr>
      <w:r>
        <w:rPr>
          <w:rFonts w:ascii="Georgia" w:cs="Georgia" w:eastAsia="Georgia" w:hAnsi="Georgia"/>
          <w:b/>
          <w:bCs/>
          <w:color w:val="0C2438"/>
          <w:sz w:val="30"/>
          <w:szCs w:val="30"/>
        </w:rPr>
        <w:t xml:space="preserve">Balanced Producer</w:t>
      </w:r>
    </w:p>
    <w:p>
      <w:pPr>
        <w:spacing w:after="140" w:before="0" w:line="276"/>
      </w:pPr>
      <w:r>
        <w:rPr>
          <w:rFonts w:ascii="Arial" w:cs="Arial" w:eastAsia="Arial" w:hAnsi="Arial"/>
          <w:color w:val="1E2733"/>
          <w:sz w:val="21"/>
          <w:szCs w:val="21"/>
        </w:rPr>
        <w:t xml:space="preserve">Management believes this profile represents the ideal LeaderShield producer, combining capital solutions, Merchant Growth Platform solutions, and repeat relationships.</w:t>
      </w:r>
    </w:p>
    <w:p>
      <w:pPr>
        <w:keepNext/>
        <w:spacing w:after="40" w:before="160"/>
      </w:pPr>
      <w:r>
        <w:rPr>
          <w:rFonts w:ascii="Arial" w:cs="Arial" w:eastAsia="Arial" w:hAnsi="Arial"/>
          <w:b/>
          <w:bCs/>
          <w:color w:val="9A7A28"/>
          <w:spacing w:val="26"/>
          <w:sz w:val="17"/>
          <w:szCs w:val="17"/>
        </w:rPr>
        <w:t xml:space="preserve">ASSUMPTIONS</w:t>
      </w:r>
    </w:p>
    <w:p>
      <w:pPr>
        <w:pStyle w:val="ListParagraph"/>
        <w:numPr>
          <w:ilvl w:val="0"/>
          <w:numId w:val="3"/>
        </w:numPr>
        <w:spacing w:after="56" w:line="268"/>
      </w:pPr>
      <w:r>
        <w:rPr>
          <w:rFonts w:ascii="Arial" w:cs="Arial" w:eastAsia="Arial" w:hAnsi="Arial"/>
          <w:color w:val="1E2733"/>
          <w:sz w:val="21"/>
          <w:szCs w:val="21"/>
        </w:rPr>
        <w:t xml:space="preserve">Monthly funded volume of $250,000</w:t>
      </w:r>
    </w:p>
    <w:p>
      <w:pPr>
        <w:pStyle w:val="ListParagraph"/>
        <w:numPr>
          <w:ilvl w:val="0"/>
          <w:numId w:val="3"/>
        </w:numPr>
        <w:spacing w:after="56" w:line="268"/>
      </w:pPr>
      <w:r>
        <w:rPr>
          <w:rFonts w:ascii="Arial" w:cs="Arial" w:eastAsia="Arial" w:hAnsi="Arial"/>
          <w:color w:val="1E2733"/>
          <w:sz w:val="21"/>
          <w:szCs w:val="21"/>
        </w:rPr>
        <w:t xml:space="preserve">Five active subscriptions sold monthly with strong attachment ratios</w:t>
      </w:r>
    </w:p>
    <w:p>
      <w:pPr>
        <w:pStyle w:val="ListParagraph"/>
        <w:numPr>
          <w:ilvl w:val="0"/>
          <w:numId w:val="3"/>
        </w:numPr>
        <w:spacing w:after="120" w:line="268"/>
      </w:pPr>
      <w:r>
        <w:rPr>
          <w:rFonts w:ascii="Arial" w:cs="Arial" w:eastAsia="Arial" w:hAnsi="Arial"/>
          <w:color w:val="1E2733"/>
          <w:sz w:val="21"/>
          <w:szCs w:val="21"/>
        </w:rPr>
        <w:t xml:space="preserve">Enhanced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9A23F" w:sz="6"/>
              <w:left w:val="single" w:color="0C2438" w:sz="2"/>
              <w:bottom w:val="single" w:color="C9A23F" w:sz="6"/>
              <w:right w:val="single" w:color="0C2438" w:sz="2"/>
            </w:tcBorders>
            <w:shd w:fill="16395C" w:val="clear"/>
            <w:tcMar>
              <w:top w:type="dxa" w:w="120"/>
              <w:left w:type="dxa" w:w="80"/>
              <w:bottom w:type="dxa" w:w="120"/>
              <w:right w:type="dxa" w:w="80"/>
            </w:tcMar>
            <w:vAlign w:val="center"/>
          </w:tcPr>
          <w:p>
            <w:pPr>
              <w:spacing w:after="30"/>
              <w:jc w:val="center"/>
            </w:pPr>
            <w:r>
              <w:rPr>
                <w:rFonts w:ascii="Georgia" w:cs="Georgia" w:eastAsia="Georgia" w:hAnsi="Georgia"/>
                <w:b/>
                <w:bCs/>
                <w:color w:val="C9A23F"/>
                <w:sz w:val="32"/>
                <w:szCs w:val="32"/>
              </w:rPr>
              <w:t xml:space="preserve">~$10,000</w:t>
            </w:r>
          </w:p>
          <w:p>
            <w:pPr>
              <w:spacing w:after="0"/>
              <w:jc w:val="center"/>
            </w:pPr>
            <w:r>
              <w:rPr>
                <w:rFonts w:ascii="Arial" w:cs="Arial" w:eastAsia="Arial" w:hAnsi="Arial"/>
                <w:b/>
                <w:bCs/>
                <w:color w:val="FFFFFF"/>
                <w:spacing w:val="14"/>
                <w:sz w:val="15"/>
                <w:szCs w:val="15"/>
              </w:rPr>
              <w:t xml:space="preserve">MONTHLY MCA</w:t>
            </w:r>
          </w:p>
        </w:tc>
        <w:tc>
          <w:tcPr>
            <w:tcW w:type="dxa" w:w="3120"/>
            <w:tcBorders>
              <w:top w:val="single" w:color="C9A23F" w:sz="6"/>
              <w:left w:val="single" w:color="0C2438" w:sz="2"/>
              <w:bottom w:val="single" w:color="C9A23F" w:sz="6"/>
              <w:right w:val="single" w:color="0C2438" w:sz="2"/>
            </w:tcBorders>
            <w:shd w:fill="0C2438" w:val="clear"/>
            <w:tcMar>
              <w:top w:type="dxa" w:w="120"/>
              <w:left w:type="dxa" w:w="80"/>
              <w:bottom w:type="dxa" w:w="120"/>
              <w:right w:type="dxa" w:w="80"/>
            </w:tcMar>
            <w:vAlign w:val="center"/>
          </w:tcPr>
          <w:p>
            <w:pPr>
              <w:spacing w:after="30"/>
              <w:jc w:val="center"/>
            </w:pPr>
            <w:r>
              <w:rPr>
                <w:rFonts w:ascii="Georgia" w:cs="Georgia" w:eastAsia="Georgia" w:hAnsi="Georgia"/>
                <w:b/>
                <w:bCs/>
                <w:color w:val="C9A23F"/>
                <w:sz w:val="32"/>
                <w:szCs w:val="32"/>
              </w:rPr>
              <w:t xml:space="preserve">~$2,500</w:t>
            </w:r>
          </w:p>
          <w:p>
            <w:pPr>
              <w:spacing w:after="0"/>
              <w:jc w:val="center"/>
            </w:pPr>
            <w:r>
              <w:rPr>
                <w:rFonts w:ascii="Arial" w:cs="Arial" w:eastAsia="Arial" w:hAnsi="Arial"/>
                <w:b/>
                <w:bCs/>
                <w:color w:val="FFFFFF"/>
                <w:spacing w:val="14"/>
                <w:sz w:val="15"/>
                <w:szCs w:val="15"/>
              </w:rPr>
              <w:t xml:space="preserve">MONTHLY SUBSCRIPTION</w:t>
            </w:r>
          </w:p>
        </w:tc>
        <w:tc>
          <w:tcPr>
            <w:tcW w:type="dxa" w:w="3120"/>
            <w:tcBorders>
              <w:top w:val="single" w:color="C9A23F" w:sz="6"/>
              <w:left w:val="single" w:color="0C2438" w:sz="2"/>
              <w:bottom w:val="single" w:color="C9A23F" w:sz="6"/>
              <w:right w:val="single" w:color="0C2438" w:sz="2"/>
            </w:tcBorders>
            <w:shd w:fill="16395C" w:val="clear"/>
            <w:tcMar>
              <w:top w:type="dxa" w:w="120"/>
              <w:left w:type="dxa" w:w="80"/>
              <w:bottom w:type="dxa" w:w="120"/>
              <w:right w:type="dxa" w:w="80"/>
            </w:tcMar>
            <w:vAlign w:val="center"/>
          </w:tcPr>
          <w:p>
            <w:pPr>
              <w:spacing w:after="30"/>
              <w:jc w:val="center"/>
            </w:pPr>
            <w:r>
              <w:rPr>
                <w:rFonts w:ascii="Georgia" w:cs="Georgia" w:eastAsia="Georgia" w:hAnsi="Georgia"/>
                <w:b/>
                <w:bCs/>
                <w:color w:val="C9A23F"/>
                <w:sz w:val="32"/>
                <w:szCs w:val="32"/>
              </w:rPr>
              <w:t xml:space="preserve">~$150,000</w:t>
            </w:r>
          </w:p>
          <w:p>
            <w:pPr>
              <w:spacing w:after="0"/>
              <w:jc w:val="center"/>
            </w:pPr>
            <w:r>
              <w:rPr>
                <w:rFonts w:ascii="Arial" w:cs="Arial" w:eastAsia="Arial" w:hAnsi="Arial"/>
                <w:b/>
                <w:bCs/>
                <w:color w:val="FFFFFF"/>
                <w:spacing w:val="14"/>
                <w:sz w:val="15"/>
                <w:szCs w:val="15"/>
              </w:rPr>
              <w:t xml:space="preserve">ANNUALIZED + RESIDUAL</w:t>
            </w:r>
          </w:p>
        </w:tc>
      </w:tr>
    </w:tbl>
    <w:p>
      <w:pPr>
        <w:spacing w:after="24"/>
      </w:pPr>
      <w:r>
        <w:rPr>
          <w:rFonts w:ascii="Arial" w:cs="Arial" w:eastAsia="Arial" w:hAnsi="Arial"/>
        </w:rPr>
        <w:t xml:space="preserve"/>
      </w:r>
    </w:p>
    <w:p>
      <w:pPr>
        <w:spacing w:after="140" w:before="0" w:line="276"/>
      </w:pPr>
      <w:r>
        <w:rPr>
          <w:rFonts w:ascii="Arial" w:cs="Arial" w:eastAsia="Arial" w:hAnsi="Arial"/>
          <w:b/>
          <w:bCs/>
          <w:color w:val="0C2438"/>
          <w:sz w:val="21"/>
          <w:szCs w:val="21"/>
        </w:rPr>
        <w:t xml:space="preserve">Strategic characteristics:  </w:t>
      </w:r>
      <w:r>
        <w:rPr>
          <w:rFonts w:ascii="Arial" w:cs="Arial" w:eastAsia="Arial" w:hAnsi="Arial"/>
          <w:color w:val="1E2733"/>
          <w:sz w:val="21"/>
          <w:szCs w:val="21"/>
        </w:rPr>
        <w:t xml:space="preserve">Balanced, scalable, lower volatility, and strong enterprise alignment.</w:t>
      </w:r>
    </w:p>
    <w:p>
      <w:pPr>
        <w:spacing w:after="10" w:before="320"/>
      </w:pPr>
      <w:r>
        <w:rPr>
          <w:rFonts w:ascii="Arial" w:cs="Arial" w:eastAsia="Arial" w:hAnsi="Arial"/>
          <w:b/>
          <w:bCs/>
          <w:color w:val="9A7A28"/>
          <w:spacing w:val="26"/>
          <w:sz w:val="17"/>
          <w:szCs w:val="17"/>
        </w:rPr>
        <w:t xml:space="preserve">MODEL FOUR</w:t>
      </w:r>
    </w:p>
    <w:p>
      <w:pPr>
        <w:keepNext/>
        <w:pBdr>
          <w:bottom w:val="single" w:color="C9A23F" w:sz="8" w:space="4"/>
        </w:pBdr>
        <w:spacing w:after="90"/>
      </w:pPr>
      <w:r>
        <w:rPr>
          <w:rFonts w:ascii="Georgia" w:cs="Georgia" w:eastAsia="Georgia" w:hAnsi="Georgia"/>
          <w:b/>
          <w:bCs/>
          <w:color w:val="0C2438"/>
          <w:sz w:val="30"/>
          <w:szCs w:val="30"/>
        </w:rPr>
        <w:t xml:space="preserve">Elite Distributor</w:t>
      </w:r>
    </w:p>
    <w:p>
      <w:pPr>
        <w:spacing w:after="140" w:before="0" w:line="276"/>
      </w:pPr>
      <w:r>
        <w:rPr>
          <w:rFonts w:ascii="Arial" w:cs="Arial" w:eastAsia="Arial" w:hAnsi="Arial"/>
          <w:color w:val="1E2733"/>
          <w:sz w:val="21"/>
          <w:szCs w:val="21"/>
        </w:rPr>
        <w:t xml:space="preserve">Elite distributors represent full-time professionals operating at the highest standard tier.</w:t>
      </w:r>
    </w:p>
    <w:p>
      <w:pPr>
        <w:keepNext/>
        <w:spacing w:after="40" w:before="160"/>
      </w:pPr>
      <w:r>
        <w:rPr>
          <w:rFonts w:ascii="Arial" w:cs="Arial" w:eastAsia="Arial" w:hAnsi="Arial"/>
          <w:b/>
          <w:bCs/>
          <w:color w:val="9A7A28"/>
          <w:spacing w:val="26"/>
          <w:sz w:val="17"/>
          <w:szCs w:val="17"/>
        </w:rPr>
        <w:t xml:space="preserve">ASSUMPTIONS</w:t>
      </w:r>
    </w:p>
    <w:p>
      <w:pPr>
        <w:pStyle w:val="ListParagraph"/>
        <w:numPr>
          <w:ilvl w:val="0"/>
          <w:numId w:val="3"/>
        </w:numPr>
        <w:spacing w:after="56" w:line="268"/>
      </w:pPr>
      <w:r>
        <w:rPr>
          <w:rFonts w:ascii="Arial" w:cs="Arial" w:eastAsia="Arial" w:hAnsi="Arial"/>
          <w:color w:val="1E2733"/>
          <w:sz w:val="21"/>
          <w:szCs w:val="21"/>
        </w:rPr>
        <w:t xml:space="preserve">Monthly funded volume of $500,000</w:t>
      </w:r>
    </w:p>
    <w:p>
      <w:pPr>
        <w:pStyle w:val="ListParagraph"/>
        <w:numPr>
          <w:ilvl w:val="0"/>
          <w:numId w:val="3"/>
        </w:numPr>
        <w:spacing w:after="56" w:line="268"/>
      </w:pPr>
      <w:r>
        <w:rPr>
          <w:rFonts w:ascii="Arial" w:cs="Arial" w:eastAsia="Arial" w:hAnsi="Arial"/>
          <w:color w:val="1E2733"/>
          <w:sz w:val="21"/>
          <w:szCs w:val="21"/>
        </w:rPr>
        <w:t xml:space="preserve">Ten new subscriptions monthly</w:t>
      </w:r>
    </w:p>
    <w:p>
      <w:pPr>
        <w:pStyle w:val="ListParagraph"/>
        <w:numPr>
          <w:ilvl w:val="0"/>
          <w:numId w:val="3"/>
        </w:numPr>
        <w:spacing w:after="120" w:line="268"/>
      </w:pPr>
      <w:r>
        <w:rPr>
          <w:rFonts w:ascii="Arial" w:cs="Arial" w:eastAsia="Arial" w:hAnsi="Arial"/>
          <w:color w:val="1E2733"/>
          <w:sz w:val="21"/>
          <w:szCs w:val="21"/>
        </w:rPr>
        <w:t xml:space="preserve">Elite qualification with maximum accelerators achieved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9A23F" w:sz="6"/>
              <w:left w:val="single" w:color="0C2438" w:sz="2"/>
              <w:bottom w:val="single" w:color="C9A23F" w:sz="6"/>
              <w:right w:val="single" w:color="0C2438" w:sz="2"/>
            </w:tcBorders>
            <w:shd w:fill="16395C" w:val="clear"/>
            <w:tcMar>
              <w:top w:type="dxa" w:w="120"/>
              <w:left w:type="dxa" w:w="80"/>
              <w:bottom w:type="dxa" w:w="120"/>
              <w:right w:type="dxa" w:w="80"/>
            </w:tcMar>
            <w:vAlign w:val="center"/>
          </w:tcPr>
          <w:p>
            <w:pPr>
              <w:spacing w:after="30"/>
              <w:jc w:val="center"/>
            </w:pPr>
            <w:r>
              <w:rPr>
                <w:rFonts w:ascii="Georgia" w:cs="Georgia" w:eastAsia="Georgia" w:hAnsi="Georgia"/>
                <w:b/>
                <w:bCs/>
                <w:color w:val="C9A23F"/>
                <w:sz w:val="32"/>
                <w:szCs w:val="32"/>
              </w:rPr>
              <w:t xml:space="preserve">~$21,000</w:t>
            </w:r>
          </w:p>
          <w:p>
            <w:pPr>
              <w:spacing w:after="0"/>
              <w:jc w:val="center"/>
            </w:pPr>
            <w:r>
              <w:rPr>
                <w:rFonts w:ascii="Arial" w:cs="Arial" w:eastAsia="Arial" w:hAnsi="Arial"/>
                <w:b/>
                <w:bCs/>
                <w:color w:val="FFFFFF"/>
                <w:spacing w:val="14"/>
                <w:sz w:val="15"/>
                <w:szCs w:val="15"/>
              </w:rPr>
              <w:t xml:space="preserve">MONTHLY MCA</w:t>
            </w:r>
          </w:p>
        </w:tc>
        <w:tc>
          <w:tcPr>
            <w:tcW w:type="dxa" w:w="3120"/>
            <w:tcBorders>
              <w:top w:val="single" w:color="C9A23F" w:sz="6"/>
              <w:left w:val="single" w:color="0C2438" w:sz="2"/>
              <w:bottom w:val="single" w:color="C9A23F" w:sz="6"/>
              <w:right w:val="single" w:color="0C2438" w:sz="2"/>
            </w:tcBorders>
            <w:shd w:fill="0C2438" w:val="clear"/>
            <w:tcMar>
              <w:top w:type="dxa" w:w="120"/>
              <w:left w:type="dxa" w:w="80"/>
              <w:bottom w:type="dxa" w:w="120"/>
              <w:right w:type="dxa" w:w="80"/>
            </w:tcMar>
            <w:vAlign w:val="center"/>
          </w:tcPr>
          <w:p>
            <w:pPr>
              <w:spacing w:after="30"/>
              <w:jc w:val="center"/>
            </w:pPr>
            <w:r>
              <w:rPr>
                <w:rFonts w:ascii="Georgia" w:cs="Georgia" w:eastAsia="Georgia" w:hAnsi="Georgia"/>
                <w:b/>
                <w:bCs/>
                <w:color w:val="C9A23F"/>
                <w:sz w:val="32"/>
                <w:szCs w:val="32"/>
              </w:rPr>
              <w:t xml:space="preserve">~$5,500</w:t>
            </w:r>
          </w:p>
          <w:p>
            <w:pPr>
              <w:spacing w:after="0"/>
              <w:jc w:val="center"/>
            </w:pPr>
            <w:r>
              <w:rPr>
                <w:rFonts w:ascii="Arial" w:cs="Arial" w:eastAsia="Arial" w:hAnsi="Arial"/>
                <w:b/>
                <w:bCs/>
                <w:color w:val="FFFFFF"/>
                <w:spacing w:val="14"/>
                <w:sz w:val="15"/>
                <w:szCs w:val="15"/>
              </w:rPr>
              <w:t xml:space="preserve">MONTHLY SUBSCRIPTION</w:t>
            </w:r>
          </w:p>
        </w:tc>
        <w:tc>
          <w:tcPr>
            <w:tcW w:type="dxa" w:w="3120"/>
            <w:tcBorders>
              <w:top w:val="single" w:color="C9A23F" w:sz="6"/>
              <w:left w:val="single" w:color="0C2438" w:sz="2"/>
              <w:bottom w:val="single" w:color="C9A23F" w:sz="6"/>
              <w:right w:val="single" w:color="0C2438" w:sz="2"/>
            </w:tcBorders>
            <w:shd w:fill="16395C" w:val="clear"/>
            <w:tcMar>
              <w:top w:type="dxa" w:w="120"/>
              <w:left w:type="dxa" w:w="80"/>
              <w:bottom w:type="dxa" w:w="120"/>
              <w:right w:type="dxa" w:w="80"/>
            </w:tcMar>
            <w:vAlign w:val="center"/>
          </w:tcPr>
          <w:p>
            <w:pPr>
              <w:spacing w:after="30"/>
              <w:jc w:val="center"/>
            </w:pPr>
            <w:r>
              <w:rPr>
                <w:rFonts w:ascii="Georgia" w:cs="Georgia" w:eastAsia="Georgia" w:hAnsi="Georgia"/>
                <w:b/>
                <w:bCs/>
                <w:color w:val="C9A23F"/>
                <w:sz w:val="32"/>
                <w:szCs w:val="32"/>
              </w:rPr>
              <w:t xml:space="preserve">~$318,000</w:t>
            </w:r>
          </w:p>
          <w:p>
            <w:pPr>
              <w:spacing w:after="0"/>
              <w:jc w:val="center"/>
            </w:pPr>
            <w:r>
              <w:rPr>
                <w:rFonts w:ascii="Arial" w:cs="Arial" w:eastAsia="Arial" w:hAnsi="Arial"/>
                <w:b/>
                <w:bCs/>
                <w:color w:val="FFFFFF"/>
                <w:spacing w:val="14"/>
                <w:sz w:val="15"/>
                <w:szCs w:val="15"/>
              </w:rPr>
              <w:t xml:space="preserve">ANNUALIZED + RESIDUAL</w:t>
            </w:r>
          </w:p>
        </w:tc>
      </w:tr>
    </w:tbl>
    <w:p>
      <w:pPr>
        <w:spacing w:after="24"/>
      </w:pPr>
      <w:r>
        <w:rPr>
          <w:rFonts w:ascii="Arial" w:cs="Arial" w:eastAsia="Arial" w:hAnsi="Arial"/>
        </w:rPr>
        <w:t xml:space="preserve"/>
      </w:r>
    </w:p>
    <w:p>
      <w:pPr>
        <w:spacing w:after="140" w:before="0" w:line="276"/>
      </w:pPr>
      <w:r>
        <w:rPr>
          <w:rFonts w:ascii="Arial" w:cs="Arial" w:eastAsia="Arial" w:hAnsi="Arial"/>
          <w:b/>
          <w:bCs/>
          <w:color w:val="0C2438"/>
          <w:sz w:val="21"/>
          <w:szCs w:val="21"/>
        </w:rPr>
        <w:t xml:space="preserve">Strategic characteristics:  </w:t>
      </w:r>
      <w:r>
        <w:rPr>
          <w:rFonts w:ascii="Arial" w:cs="Arial" w:eastAsia="Arial" w:hAnsi="Arial"/>
          <w:color w:val="1E2733"/>
          <w:sz w:val="21"/>
          <w:szCs w:val="21"/>
        </w:rPr>
        <w:t xml:space="preserve">High production, strong merchant penetration, and significant recurring income accumulation.</w:t>
      </w:r>
    </w:p>
    <w:p>
      <w:pPr>
        <w:spacing w:after="10" w:before="320"/>
      </w:pPr>
      <w:r>
        <w:rPr>
          <w:rFonts w:ascii="Arial" w:cs="Arial" w:eastAsia="Arial" w:hAnsi="Arial"/>
          <w:b/>
          <w:bCs/>
          <w:color w:val="9A7A28"/>
          <w:spacing w:val="26"/>
          <w:sz w:val="17"/>
          <w:szCs w:val="17"/>
        </w:rPr>
        <w:t xml:space="preserve">MODEL FIVE</w:t>
      </w:r>
    </w:p>
    <w:p>
      <w:pPr>
        <w:keepNext/>
        <w:pBdr>
          <w:bottom w:val="single" w:color="C9A23F" w:sz="8" w:space="4"/>
        </w:pBdr>
        <w:spacing w:after="90"/>
      </w:pPr>
      <w:r>
        <w:rPr>
          <w:rFonts w:ascii="Georgia" w:cs="Georgia" w:eastAsia="Georgia" w:hAnsi="Georgia"/>
          <w:b/>
          <w:bCs/>
          <w:color w:val="0C2438"/>
          <w:sz w:val="30"/>
          <w:szCs w:val="30"/>
        </w:rPr>
        <w:t xml:space="preserve">Agency Owner</w:t>
      </w:r>
    </w:p>
    <w:p>
      <w:pPr>
        <w:spacing w:after="140" w:before="0" w:line="276"/>
      </w:pPr>
      <w:r>
        <w:rPr>
          <w:rFonts w:ascii="Arial" w:cs="Arial" w:eastAsia="Arial" w:hAnsi="Arial"/>
          <w:color w:val="1E2733"/>
          <w:sz w:val="21"/>
          <w:szCs w:val="21"/>
        </w:rPr>
        <w:t xml:space="preserve">Agency leaders participate through personal production, organizational overrides, and leadership activities.</w:t>
      </w:r>
    </w:p>
    <w:p>
      <w:pPr>
        <w:keepNext/>
        <w:spacing w:after="40" w:before="160"/>
      </w:pPr>
      <w:r>
        <w:rPr>
          <w:rFonts w:ascii="Arial" w:cs="Arial" w:eastAsia="Arial" w:hAnsi="Arial"/>
          <w:b/>
          <w:bCs/>
          <w:color w:val="9A7A28"/>
          <w:spacing w:val="26"/>
          <w:sz w:val="17"/>
          <w:szCs w:val="17"/>
        </w:rPr>
        <w:t xml:space="preserve">ASSUMPTIONS</w:t>
      </w:r>
    </w:p>
    <w:p>
      <w:pPr>
        <w:pStyle w:val="ListParagraph"/>
        <w:numPr>
          <w:ilvl w:val="0"/>
          <w:numId w:val="3"/>
        </w:numPr>
        <w:spacing w:after="56" w:line="268"/>
      </w:pPr>
      <w:r>
        <w:rPr>
          <w:rFonts w:ascii="Arial" w:cs="Arial" w:eastAsia="Arial" w:hAnsi="Arial"/>
          <w:color w:val="1E2733"/>
          <w:sz w:val="21"/>
          <w:szCs w:val="21"/>
        </w:rPr>
        <w:t xml:space="preserve">Personal volume of $250,000 funded monthly</w:t>
      </w:r>
    </w:p>
    <w:p>
      <w:pPr>
        <w:pStyle w:val="ListParagraph"/>
        <w:numPr>
          <w:ilvl w:val="0"/>
          <w:numId w:val="3"/>
        </w:numPr>
        <w:spacing w:after="56" w:line="268"/>
      </w:pPr>
      <w:r>
        <w:rPr>
          <w:rFonts w:ascii="Arial" w:cs="Arial" w:eastAsia="Arial" w:hAnsi="Arial"/>
          <w:color w:val="1E2733"/>
          <w:sz w:val="21"/>
          <w:szCs w:val="21"/>
        </w:rPr>
        <w:t xml:space="preserve">Five producing agents on a 5% override model</w:t>
      </w:r>
    </w:p>
    <w:p>
      <w:pPr>
        <w:pStyle w:val="ListParagraph"/>
        <w:numPr>
          <w:ilvl w:val="0"/>
          <w:numId w:val="3"/>
        </w:numPr>
        <w:spacing w:after="120" w:line="268"/>
      </w:pPr>
      <w:r>
        <w:rPr>
          <w:rFonts w:ascii="Arial" w:cs="Arial" w:eastAsia="Arial" w:hAnsi="Arial"/>
          <w:color w:val="1E2733"/>
          <w:sz w:val="21"/>
          <w:szCs w:val="21"/>
        </w:rPr>
        <w:t xml:space="preserve">Ten active subscriptions across the organization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9A23F" w:sz="6"/>
              <w:left w:val="single" w:color="0C2438" w:sz="2"/>
              <w:bottom w:val="single" w:color="C9A23F" w:sz="6"/>
              <w:right w:val="single" w:color="0C2438" w:sz="2"/>
            </w:tcBorders>
            <w:shd w:fill="16395C" w:val="clear"/>
            <w:tcMar>
              <w:top w:type="dxa" w:w="120"/>
              <w:left w:type="dxa" w:w="80"/>
              <w:bottom w:type="dxa" w:w="120"/>
              <w:right w:type="dxa" w:w="80"/>
            </w:tcMar>
            <w:vAlign w:val="center"/>
          </w:tcPr>
          <w:p>
            <w:pPr>
              <w:spacing w:after="30"/>
              <w:jc w:val="center"/>
            </w:pPr>
            <w:r>
              <w:rPr>
                <w:rFonts w:ascii="Georgia" w:cs="Georgia" w:eastAsia="Georgia" w:hAnsi="Georgia"/>
                <w:b/>
                <w:bCs/>
                <w:color w:val="C9A23F"/>
                <w:sz w:val="32"/>
                <w:szCs w:val="32"/>
              </w:rPr>
              <w:t xml:space="preserve">~$15,000</w:t>
            </w:r>
          </w:p>
          <w:p>
            <w:pPr>
              <w:spacing w:after="0"/>
              <w:jc w:val="center"/>
            </w:pPr>
            <w:r>
              <w:rPr>
                <w:rFonts w:ascii="Arial" w:cs="Arial" w:eastAsia="Arial" w:hAnsi="Arial"/>
                <w:b/>
                <w:bCs/>
                <w:color w:val="FFFFFF"/>
                <w:spacing w:val="14"/>
                <w:sz w:val="15"/>
                <w:szCs w:val="15"/>
              </w:rPr>
              <w:t xml:space="preserve">PRODUCTION + OVERRIDE</w:t>
            </w:r>
          </w:p>
        </w:tc>
        <w:tc>
          <w:tcPr>
            <w:tcW w:type="dxa" w:w="3120"/>
            <w:tcBorders>
              <w:top w:val="single" w:color="C9A23F" w:sz="6"/>
              <w:left w:val="single" w:color="0C2438" w:sz="2"/>
              <w:bottom w:val="single" w:color="C9A23F" w:sz="6"/>
              <w:right w:val="single" w:color="0C2438" w:sz="2"/>
            </w:tcBorders>
            <w:shd w:fill="0C2438" w:val="clear"/>
            <w:tcMar>
              <w:top w:type="dxa" w:w="120"/>
              <w:left w:type="dxa" w:w="80"/>
              <w:bottom w:type="dxa" w:w="120"/>
              <w:right w:type="dxa" w:w="80"/>
            </w:tcMar>
            <w:vAlign w:val="center"/>
          </w:tcPr>
          <w:p>
            <w:pPr>
              <w:spacing w:after="30"/>
              <w:jc w:val="center"/>
            </w:pPr>
            <w:r>
              <w:rPr>
                <w:rFonts w:ascii="Georgia" w:cs="Georgia" w:eastAsia="Georgia" w:hAnsi="Georgia"/>
                <w:b/>
                <w:bCs/>
                <w:color w:val="C9A23F"/>
                <w:sz w:val="32"/>
                <w:szCs w:val="32"/>
              </w:rPr>
              <w:t xml:space="preserve">~$1,500</w:t>
            </w:r>
          </w:p>
          <w:p>
            <w:pPr>
              <w:spacing w:after="0"/>
              <w:jc w:val="center"/>
            </w:pPr>
            <w:r>
              <w:rPr>
                <w:rFonts w:ascii="Arial" w:cs="Arial" w:eastAsia="Arial" w:hAnsi="Arial"/>
                <w:b/>
                <w:bCs/>
                <w:color w:val="FFFFFF"/>
                <w:spacing w:val="14"/>
                <w:sz w:val="15"/>
                <w:szCs w:val="15"/>
              </w:rPr>
              <w:t xml:space="preserve">SUBSCRIPTION OVERRIDE</w:t>
            </w:r>
          </w:p>
        </w:tc>
        <w:tc>
          <w:tcPr>
            <w:tcW w:type="dxa" w:w="3120"/>
            <w:tcBorders>
              <w:top w:val="single" w:color="C9A23F" w:sz="6"/>
              <w:left w:val="single" w:color="0C2438" w:sz="2"/>
              <w:bottom w:val="single" w:color="C9A23F" w:sz="6"/>
              <w:right w:val="single" w:color="0C2438" w:sz="2"/>
            </w:tcBorders>
            <w:shd w:fill="16395C" w:val="clear"/>
            <w:tcMar>
              <w:top w:type="dxa" w:w="120"/>
              <w:left w:type="dxa" w:w="80"/>
              <w:bottom w:type="dxa" w:w="120"/>
              <w:right w:type="dxa" w:w="80"/>
            </w:tcMar>
            <w:vAlign w:val="center"/>
          </w:tcPr>
          <w:p>
            <w:pPr>
              <w:spacing w:after="30"/>
              <w:jc w:val="center"/>
            </w:pPr>
            <w:r>
              <w:rPr>
                <w:rFonts w:ascii="Georgia" w:cs="Georgia" w:eastAsia="Georgia" w:hAnsi="Georgia"/>
                <w:b/>
                <w:bCs/>
                <w:color w:val="C9A23F"/>
                <w:sz w:val="32"/>
                <w:szCs w:val="32"/>
              </w:rPr>
              <w:t xml:space="preserve">~$198,000</w:t>
            </w:r>
          </w:p>
          <w:p>
            <w:pPr>
              <w:spacing w:after="0"/>
              <w:jc w:val="center"/>
            </w:pPr>
            <w:r>
              <w:rPr>
                <w:rFonts w:ascii="Arial" w:cs="Arial" w:eastAsia="Arial" w:hAnsi="Arial"/>
                <w:b/>
                <w:bCs/>
                <w:color w:val="FFFFFF"/>
                <w:spacing w:val="14"/>
                <w:sz w:val="15"/>
                <w:szCs w:val="15"/>
              </w:rPr>
              <w:t xml:space="preserve">ANNUALIZED + RESIDUAL</w:t>
            </w:r>
          </w:p>
        </w:tc>
      </w:tr>
    </w:tbl>
    <w:p>
      <w:pPr>
        <w:spacing w:after="24"/>
      </w:pPr>
      <w:r>
        <w:rPr>
          <w:rFonts w:ascii="Arial" w:cs="Arial" w:eastAsia="Arial" w:hAnsi="Arial"/>
        </w:rPr>
        <w:t xml:space="preserve"/>
      </w:r>
    </w:p>
    <w:p>
      <w:pPr>
        <w:spacing w:after="140" w:before="0" w:line="276"/>
      </w:pPr>
      <w:r>
        <w:rPr>
          <w:rFonts w:ascii="Arial" w:cs="Arial" w:eastAsia="Arial" w:hAnsi="Arial"/>
          <w:b/>
          <w:bCs/>
          <w:color w:val="0C2438"/>
          <w:sz w:val="21"/>
          <w:szCs w:val="21"/>
        </w:rPr>
        <w:t xml:space="preserve">Strategic characteristics:  </w:t>
      </w:r>
      <w:r>
        <w:rPr>
          <w:rFonts w:ascii="Arial" w:cs="Arial" w:eastAsia="Arial" w:hAnsi="Arial"/>
          <w:color w:val="1E2733"/>
          <w:sz w:val="21"/>
          <w:szCs w:val="21"/>
        </w:rPr>
        <w:t xml:space="preserve">Leadership-oriented, scalable, and leverage-based.</w:t>
      </w:r>
    </w:p>
    <w:p>
      <w:pPr>
        <w:spacing w:after="10" w:before="320"/>
      </w:pPr>
      <w:r>
        <w:rPr>
          <w:rFonts w:ascii="Arial" w:cs="Arial" w:eastAsia="Arial" w:hAnsi="Arial"/>
          <w:b/>
          <w:bCs/>
          <w:color w:val="9A7A28"/>
          <w:spacing w:val="26"/>
          <w:sz w:val="17"/>
          <w:szCs w:val="17"/>
        </w:rPr>
        <w:t xml:space="preserve">MODEL SIX</w:t>
      </w:r>
    </w:p>
    <w:p>
      <w:pPr>
        <w:keepNext/>
        <w:pBdr>
          <w:bottom w:val="single" w:color="C9A23F" w:sz="8" w:space="4"/>
        </w:pBdr>
        <w:spacing w:after="90"/>
      </w:pPr>
      <w:r>
        <w:rPr>
          <w:rFonts w:ascii="Georgia" w:cs="Georgia" w:eastAsia="Georgia" w:hAnsi="Georgia"/>
          <w:b/>
          <w:bCs/>
          <w:color w:val="0C2438"/>
          <w:sz w:val="30"/>
          <w:szCs w:val="30"/>
        </w:rPr>
        <w:t xml:space="preserve">Large Organization Leader</w:t>
      </w:r>
    </w:p>
    <w:p>
      <w:pPr>
        <w:spacing w:after="140" w:before="0" w:line="276"/>
      </w:pPr>
      <w:r>
        <w:rPr>
          <w:rFonts w:ascii="Arial" w:cs="Arial" w:eastAsia="Arial" w:hAnsi="Arial"/>
          <w:color w:val="1E2733"/>
          <w:sz w:val="21"/>
          <w:szCs w:val="21"/>
        </w:rPr>
        <w:t xml:space="preserve">Large agency leaders create value through organizational scale.</w:t>
      </w:r>
    </w:p>
    <w:p>
      <w:pPr>
        <w:keepNext/>
        <w:spacing w:after="40" w:before="160"/>
      </w:pPr>
      <w:r>
        <w:rPr>
          <w:rFonts w:ascii="Arial" w:cs="Arial" w:eastAsia="Arial" w:hAnsi="Arial"/>
          <w:b/>
          <w:bCs/>
          <w:color w:val="9A7A28"/>
          <w:spacing w:val="26"/>
          <w:sz w:val="17"/>
          <w:szCs w:val="17"/>
        </w:rPr>
        <w:t xml:space="preserve">ASSUMPTIONS</w:t>
      </w:r>
    </w:p>
    <w:p>
      <w:pPr>
        <w:pStyle w:val="ListParagraph"/>
        <w:numPr>
          <w:ilvl w:val="0"/>
          <w:numId w:val="3"/>
        </w:numPr>
        <w:spacing w:after="56" w:line="268"/>
      </w:pPr>
      <w:r>
        <w:rPr>
          <w:rFonts w:ascii="Arial" w:cs="Arial" w:eastAsia="Arial" w:hAnsi="Arial"/>
          <w:color w:val="1E2733"/>
          <w:sz w:val="21"/>
          <w:szCs w:val="21"/>
        </w:rPr>
        <w:t xml:space="preserve">Twenty producing agents on an 8% agency override</w:t>
      </w:r>
    </w:p>
    <w:p>
      <w:pPr>
        <w:pStyle w:val="ListParagraph"/>
        <w:numPr>
          <w:ilvl w:val="0"/>
          <w:numId w:val="3"/>
        </w:numPr>
        <w:spacing w:after="120" w:line="268"/>
      </w:pPr>
      <w:r>
        <w:rPr>
          <w:rFonts w:ascii="Arial" w:cs="Arial" w:eastAsia="Arial" w:hAnsi="Arial"/>
          <w:color w:val="1E2733"/>
          <w:sz w:val="21"/>
          <w:szCs w:val="21"/>
        </w:rPr>
        <w:t xml:space="preserve">Strong Elite participation and high retention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9A23F" w:sz="6"/>
              <w:left w:val="single" w:color="0C2438" w:sz="2"/>
              <w:bottom w:val="single" w:color="C9A23F" w:sz="6"/>
              <w:right w:val="single" w:color="0C2438" w:sz="2"/>
            </w:tcBorders>
            <w:shd w:fill="16395C" w:val="clear"/>
            <w:tcMar>
              <w:top w:type="dxa" w:w="120"/>
              <w:left w:type="dxa" w:w="80"/>
              <w:bottom w:type="dxa" w:w="120"/>
              <w:right w:type="dxa" w:w="80"/>
            </w:tcMar>
            <w:vAlign w:val="center"/>
          </w:tcPr>
          <w:p>
            <w:pPr>
              <w:spacing w:after="30"/>
              <w:jc w:val="center"/>
            </w:pPr>
            <w:r>
              <w:rPr>
                <w:rFonts w:ascii="Georgia" w:cs="Georgia" w:eastAsia="Georgia" w:hAnsi="Georgia"/>
                <w:b/>
                <w:bCs/>
                <w:color w:val="C9A23F"/>
                <w:sz w:val="32"/>
                <w:szCs w:val="32"/>
              </w:rPr>
              <w:t xml:space="preserve">~$45,000</w:t>
            </w:r>
          </w:p>
          <w:p>
            <w:pPr>
              <w:spacing w:after="0"/>
              <w:jc w:val="center"/>
            </w:pPr>
            <w:r>
              <w:rPr>
                <w:rFonts w:ascii="Arial" w:cs="Arial" w:eastAsia="Arial" w:hAnsi="Arial"/>
                <w:b/>
                <w:bCs/>
                <w:color w:val="FFFFFF"/>
                <w:spacing w:val="14"/>
                <w:sz w:val="15"/>
                <w:szCs w:val="15"/>
              </w:rPr>
              <w:t xml:space="preserve">OVERRIDE + PERSONAL</w:t>
            </w:r>
          </w:p>
        </w:tc>
        <w:tc>
          <w:tcPr>
            <w:tcW w:type="dxa" w:w="3120"/>
            <w:tcBorders>
              <w:top w:val="single" w:color="C9A23F" w:sz="6"/>
              <w:left w:val="single" w:color="0C2438" w:sz="2"/>
              <w:bottom w:val="single" w:color="C9A23F" w:sz="6"/>
              <w:right w:val="single" w:color="0C2438" w:sz="2"/>
            </w:tcBorders>
            <w:shd w:fill="0C2438" w:val="clear"/>
            <w:tcMar>
              <w:top w:type="dxa" w:w="120"/>
              <w:left w:type="dxa" w:w="80"/>
              <w:bottom w:type="dxa" w:w="120"/>
              <w:right w:type="dxa" w:w="80"/>
            </w:tcMar>
            <w:vAlign w:val="center"/>
          </w:tcPr>
          <w:p>
            <w:pPr>
              <w:spacing w:after="30"/>
              <w:jc w:val="center"/>
            </w:pPr>
            <w:r>
              <w:rPr>
                <w:rFonts w:ascii="Georgia" w:cs="Georgia" w:eastAsia="Georgia" w:hAnsi="Georgia"/>
                <w:b/>
                <w:bCs/>
                <w:color w:val="C9A23F"/>
                <w:sz w:val="32"/>
                <w:szCs w:val="32"/>
              </w:rPr>
              <w:t xml:space="preserve">~$7,500</w:t>
            </w:r>
          </w:p>
          <w:p>
            <w:pPr>
              <w:spacing w:after="0"/>
              <w:jc w:val="center"/>
            </w:pPr>
            <w:r>
              <w:rPr>
                <w:rFonts w:ascii="Arial" w:cs="Arial" w:eastAsia="Arial" w:hAnsi="Arial"/>
                <w:b/>
                <w:bCs/>
                <w:color w:val="FFFFFF"/>
                <w:spacing w:val="14"/>
                <w:sz w:val="15"/>
                <w:szCs w:val="15"/>
              </w:rPr>
              <w:t xml:space="preserve">SUBSCRIPTION OVERRIDE</w:t>
            </w:r>
          </w:p>
        </w:tc>
        <w:tc>
          <w:tcPr>
            <w:tcW w:type="dxa" w:w="3120"/>
            <w:tcBorders>
              <w:top w:val="single" w:color="C9A23F" w:sz="6"/>
              <w:left w:val="single" w:color="0C2438" w:sz="2"/>
              <w:bottom w:val="single" w:color="C9A23F" w:sz="6"/>
              <w:right w:val="single" w:color="0C2438" w:sz="2"/>
            </w:tcBorders>
            <w:shd w:fill="16395C" w:val="clear"/>
            <w:tcMar>
              <w:top w:type="dxa" w:w="120"/>
              <w:left w:type="dxa" w:w="80"/>
              <w:bottom w:type="dxa" w:w="120"/>
              <w:right w:type="dxa" w:w="80"/>
            </w:tcMar>
            <w:vAlign w:val="center"/>
          </w:tcPr>
          <w:p>
            <w:pPr>
              <w:spacing w:after="30"/>
              <w:jc w:val="center"/>
            </w:pPr>
            <w:r>
              <w:rPr>
                <w:rFonts w:ascii="Georgia" w:cs="Georgia" w:eastAsia="Georgia" w:hAnsi="Georgia"/>
                <w:b/>
                <w:bCs/>
                <w:color w:val="C9A23F"/>
                <w:sz w:val="32"/>
                <w:szCs w:val="32"/>
              </w:rPr>
              <w:t xml:space="preserve">~$630,000</w:t>
            </w:r>
          </w:p>
          <w:p>
            <w:pPr>
              <w:spacing w:after="0"/>
              <w:jc w:val="center"/>
            </w:pPr>
            <w:r>
              <w:rPr>
                <w:rFonts w:ascii="Arial" w:cs="Arial" w:eastAsia="Arial" w:hAnsi="Arial"/>
                <w:b/>
                <w:bCs/>
                <w:color w:val="FFFFFF"/>
                <w:spacing w:val="14"/>
                <w:sz w:val="15"/>
                <w:szCs w:val="15"/>
              </w:rPr>
              <w:t xml:space="preserve">ANNUALIZED + RESIDUAL</w:t>
            </w:r>
          </w:p>
        </w:tc>
      </w:tr>
    </w:tbl>
    <w:p>
      <w:pPr>
        <w:spacing w:after="24"/>
      </w:pPr>
      <w:r>
        <w:rPr>
          <w:rFonts w:ascii="Arial" w:cs="Arial" w:eastAsia="Arial" w:hAnsi="Arial"/>
        </w:rPr>
        <w:t xml:space="preserve"/>
      </w:r>
    </w:p>
    <w:p>
      <w:pPr>
        <w:spacing w:after="140" w:before="0" w:line="276"/>
      </w:pPr>
      <w:r>
        <w:rPr>
          <w:rFonts w:ascii="Arial" w:cs="Arial" w:eastAsia="Arial" w:hAnsi="Arial"/>
          <w:b/>
          <w:bCs/>
          <w:color w:val="0C2438"/>
          <w:sz w:val="21"/>
          <w:szCs w:val="21"/>
        </w:rPr>
        <w:t xml:space="preserve">Strategic characteristics:  </w:t>
      </w:r>
      <w:r>
        <w:rPr>
          <w:rFonts w:ascii="Arial" w:cs="Arial" w:eastAsia="Arial" w:hAnsi="Arial"/>
          <w:color w:val="1E2733"/>
          <w:sz w:val="21"/>
          <w:szCs w:val="21"/>
        </w:rPr>
        <w:t xml:space="preserve">Maximum leverage, organizational scale, and enterprise-level alignment.</w:t>
      </w:r>
    </w:p>
    <w:p>
      <w:pPr>
        <w:keepNext/>
        <w:pBdr>
          <w:bottom w:val="single" w:color="C9A23F" w:sz="10" w:space="6"/>
        </w:pBdr>
        <w:spacing w:after="120" w:before="300"/>
      </w:pPr>
      <w:r>
        <w:rPr>
          <w:rFonts w:ascii="Arial" w:cs="Arial" w:eastAsia="Arial" w:hAnsi="Arial"/>
          <w:b/>
          <w:bCs/>
          <w:color w:val="16395C"/>
          <w:spacing w:val="14"/>
          <w:sz w:val="24"/>
          <w:szCs w:val="24"/>
        </w:rPr>
        <w:t xml:space="preserve">ENTERPRISE ALIGNMENT</w:t>
      </w:r>
    </w:p>
    <w:p>
      <w:pPr>
        <w:spacing w:after="140" w:before="0" w:line="276"/>
      </w:pPr>
      <w:r>
        <w:rPr>
          <w:rFonts w:ascii="Arial" w:cs="Arial" w:eastAsia="Arial" w:hAnsi="Arial"/>
          <w:color w:val="1E2733"/>
          <w:sz w:val="21"/>
          <w:szCs w:val="21"/>
        </w:rPr>
        <w:t xml:space="preserve">Different participants may emphasize different economic engines. Some producers will prefer transactional cash flow; others may prioritize recurring income; still others may focus on organizational development. The LeaderShield architecture supports multiple paths to success — and aligns each of them with the long-term value of the enterprise.</w:t>
      </w:r>
    </w:p>
    <w:p>
      <w:pPr>
        <w:spacing w:after="200"/>
      </w:pPr>
      <w:r>
        <w:rPr>
          <w:rFonts w:ascii="Arial" w:cs="Arial" w:eastAsia="Arial" w:hAnsi="Arial"/>
        </w:rPr>
        <w:t xml:space="preserve"/>
      </w:r>
    </w:p>
    <w:p>
      <w:pPr>
        <w:spacing w:after="40" w:before="200"/>
        <w:jc w:val="center"/>
      </w:pPr>
      <w:r>
        <w:rPr>
          <w:rFonts w:ascii="Arial" w:cs="Arial" w:eastAsia="Arial" w:hAnsi="Arial"/>
          <w:color w:val="C9A23F"/>
          <w:sz w:val="22"/>
          <w:szCs w:val="22"/>
        </w:rPr>
        <w:t xml:space="preserve">———————————   ◆   ———————————</w:t>
      </w:r>
    </w:p>
    <w:p>
      <w:pPr>
        <w:spacing w:after="20"/>
        <w:jc w:val="center"/>
      </w:pPr>
      <w:r>
        <w:rPr>
          <w:rFonts w:ascii="Georgia" w:cs="Georgia" w:eastAsia="Georgia" w:hAnsi="Georgia"/>
          <w:b/>
          <w:bCs/>
          <w:color w:val="16395C"/>
          <w:spacing w:val="50"/>
          <w:sz w:val="22"/>
          <w:szCs w:val="22"/>
        </w:rPr>
        <w:t xml:space="preserve">LEADERSHIELD</w:t>
      </w:r>
      <w:r>
        <w:rPr>
          <w:rFonts w:ascii="Arial" w:cs="Arial" w:eastAsia="Arial" w:hAnsi="Arial"/>
          <w:color w:val="9A7A28"/>
          <w:sz w:val="12"/>
          <w:szCs w:val="12"/>
        </w:rPr>
        <w:t xml:space="preserve">™</w:t>
      </w:r>
    </w:p>
    <w:p>
      <w:pPr>
        <w:spacing w:after="0"/>
        <w:jc w:val="center"/>
      </w:pPr>
      <w:r>
        <w:rPr>
          <w:rFonts w:ascii="Arial" w:cs="Arial" w:eastAsia="Arial" w:hAnsi="Arial"/>
          <w:color w:val="5C6675"/>
          <w:sz w:val="16"/>
          <w:szCs w:val="16"/>
        </w:rPr>
        <w:t xml:space="preserve">Compensation Architecture &amp; Economics Manual  •  Version 1.1  •  Internal &amp; Confidential</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6" w:sz="4" w:space="6"/>
      </w:pBdr>
      <w:spacing w:before="0"/>
      <w:jc w:val="center"/>
    </w:pPr>
    <w:r>
      <w:rPr>
        <w:rFonts w:ascii="Arial" w:cs="Arial" w:eastAsia="Arial" w:hAnsi="Arial"/>
        <w:color w:val="5C6675"/>
        <w:sz w:val="14"/>
        <w:szCs w:val="14"/>
      </w:rPr>
      <w:t xml:space="preserve">Internal &amp; Confidential</w:t>
    </w:r>
    <w:r>
      <w:rPr>
        <w:rFonts w:ascii="Arial" w:cs="Arial" w:eastAsia="Arial" w:hAnsi="Arial"/>
        <w:sz w:val="14"/>
        <w:szCs w:val="14"/>
      </w:rPr>
      <w:t xml:space="preserve">          </w:t>
    </w:r>
    <w:r>
      <w:rPr>
        <w:rFonts w:ascii="Arial" w:cs="Arial" w:eastAsia="Arial" w:hAnsi="Arial"/>
        <w:color w:val="5C6675"/>
        <w:sz w:val="14"/>
        <w:szCs w:val="14"/>
      </w:rPr>
      <w:t xml:space="preserve">Page </w:t>
    </w:r>
    <w:r>
      <w:rPr>
        <w:rFonts w:ascii="Arial" w:cs="Arial" w:eastAsia="Arial" w:hAnsi="Arial"/>
        <w:b/>
        <w:bCs/>
        <w:color w:val="16395C"/>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6" w:sz="4" w:space="6"/>
      </w:pBdr>
      <w:spacing w:after="0"/>
      <w:jc w:val="left"/>
    </w:pPr>
    <w:r>
      <w:rPr>
        <w:rFonts w:ascii="Georgia" w:cs="Georgia" w:eastAsia="Georgia" w:hAnsi="Georgia"/>
        <w:b/>
        <w:bCs/>
        <w:color w:val="16395C"/>
        <w:spacing w:val="30"/>
        <w:sz w:val="14"/>
        <w:szCs w:val="14"/>
      </w:rPr>
      <w:t xml:space="preserve">LEADERSHIELD</w:t>
    </w:r>
    <w:r>
      <w:rPr>
        <w:rFonts w:ascii="Arial" w:cs="Arial" w:eastAsia="Arial" w:hAnsi="Arial"/>
        <w:color w:val="5C6675"/>
        <w:sz w:val="14"/>
        <w:szCs w:val="14"/>
      </w:rPr>
      <w:t xml:space="preserve">   Compensation Architecture &amp; Economics Manual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rPr>
        <w:color w:val="2E6E9E"/>
      </w:rPr>
    </w:lvl>
  </w:abstractNum>
  <w:abstractNum w:abstractNumId="3" w15:restartNumberingAfterBreak="0">
    <w:multiLevelType w:val="hybridMultilevel"/>
    <w:lvl w:ilvl="0" w15:tentative="1">
      <w:start w:val="1"/>
      <w:numFmt w:val="bullet"/>
      <w:lvlText w:val="▪"/>
      <w:lvlJc w:val="left"/>
      <w:rPr>
        <w:color w:val="9A7A28"/>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800cee9797c7f6a1fcd1460b34b792425bf11ba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Compensation Architecture &amp; Economics Manual</dc:title>
  <dc:creator>LeaderShield</dc:creator>
  <dc:description>Internal compensation architecture and economics manual</dc:description>
  <cp:lastModifiedBy>Un-named</cp:lastModifiedBy>
  <cp:revision>1</cp:revision>
  <dcterms:created xsi:type="dcterms:W3CDTF">2026-06-18T17:18:58.143Z</dcterms:created>
  <dcterms:modified xsi:type="dcterms:W3CDTF">2026-06-18T17:18:58.143Z</dcterms:modified>
</cp:coreProperties>
</file>

<file path=docProps/custom.xml><?xml version="1.0" encoding="utf-8"?>
<Properties xmlns="http://schemas.openxmlformats.org/officeDocument/2006/custom-properties" xmlns:vt="http://schemas.openxmlformats.org/officeDocument/2006/docPropsVTypes"/>
</file>