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 Exploratory Correlation Test of Luminosity and a Local-Expansion Proxy in Cosmicflows-3 Galaxy Groups</w:t>
      </w:r>
    </w:p>
    <w:p>
      <w:pPr>
        <w:pStyle w:val="FirstParagraph"/>
        <w:spacing w:line="240" w:lineRule="auto" w:after="120"/>
        <w:jc w:val="center"/>
      </w:pPr>
      <w:r>
        <w:rPr>
          <w:rFonts w:ascii="Calibri" w:hAnsi="Calibri"/>
          <w:color w:val="1E1E1E"/>
          <w:sz w:val="21"/>
        </w:rPr>
        <w:t xml:space="preserve">Peter Yongtao Wang</w:t>
      </w:r>
      <w:r>
        <w:rPr>
          <w:rFonts w:ascii="Calibri" w:hAnsi="Calibri"/>
          <w:color w:val="1E1E1E"/>
          <w:sz w:val="21"/>
        </w:rPr>
        <w:br/>
      </w:r>
      <w:r>
        <w:rPr>
          <w:rFonts w:ascii="Calibri" w:hAnsi="Calibri"/>
          <w:color w:val="1E1E1E"/>
          <w:sz w:val="21"/>
        </w:rPr>
        <w:t xml:space="preserve">Shandong Qizhang Intelligent Technology Co., Ltd., Yantai, Shandong 264003, China</w:t>
      </w:r>
      <w:r>
        <w:rPr>
          <w:rFonts w:ascii="Calibri" w:hAnsi="Calibri"/>
          <w:color w:val="1E1E1E"/>
          <w:sz w:val="21"/>
        </w:rPr>
        <w:br/>
      </w:r>
      <w:r>
        <w:rPr>
          <w:rFonts w:ascii="Calibri" w:hAnsi="Calibri"/>
          <w:color w:val="1E1E1E"/>
          <w:sz w:val="21"/>
        </w:rPr>
        <w:t xml:space="preserve">Previously published as Yongtao Wang</w:t>
      </w:r>
      <w:r>
        <w:rPr>
          <w:rFonts w:ascii="Calibri" w:hAnsi="Calibri"/>
          <w:color w:val="1E1E1E"/>
          <w:sz w:val="21"/>
        </w:rPr>
        <w:br/>
      </w:r>
      <w:r>
        <w:rPr>
          <w:rFonts w:ascii="Calibri" w:hAnsi="Calibri"/>
          <w:color w:val="1E1E1E"/>
          <w:sz w:val="21"/>
        </w:rPr>
        <w:t xml:space="preserve">Correspondence: peter_y_wang3@163.com</w:t>
      </w:r>
    </w:p>
    <w:p>
      <w:pPr>
        <w:pStyle w:val="BodyText"/>
        <w:spacing w:line="240" w:lineRule="auto" w:after="240"/>
        <w:jc w:val="center"/>
      </w:pPr>
      <w:r>
        <w:rPr>
          <w:rFonts w:ascii="Calibri" w:hAnsi="Calibri"/>
          <w:color w:val="5A6068"/>
          <w:sz w:val="19"/>
        </w:rPr>
        <w:t xml:space="preserve">Article type: Research Article</w:t>
      </w:r>
      <w:r>
        <w:rPr>
          <w:rFonts w:ascii="Calibri" w:hAnsi="Calibri"/>
          <w:color w:val="5A6068"/>
          <w:sz w:val="19"/>
        </w:rPr>
        <w:br/>
      </w:r>
      <w:r>
        <w:rPr>
          <w:rFonts w:ascii="Calibri" w:hAnsi="Calibri"/>
          <w:color w:val="5A6068"/>
          <w:sz w:val="19"/>
        </w:rPr>
        <w:t xml:space="preserve">Short title: Galaxy-group luminosity and a local-expansion proxy</w:t>
      </w:r>
    </w:p>
    <w:bookmarkStart w:id="20" w:name="abstract"/>
    <w:p>
      <w:pPr>
        <w:pStyle w:val="Heading1"/>
      </w:pPr>
      <w:r>
        <w:t xml:space="preserve">Abstract</w:t>
      </w:r>
    </w:p>
    <w:p>
      <w:pPr>
        <w:pStyle w:val="FirstParagraph"/>
      </w:pPr>
      <w:r>
        <w:t xml:space="preserve">A directional radiation-matter conversion hypothesis predicts a minimal catalog-level sign: after major nuisance trends are controlled, more luminous systems may show larger redshift-distance residuals. We tested this prediction in 858 Cosmicflows-3 galaxy groups using</w:t>
      </w:r>
      <w:r>
        <w:t xml:space="preserve"> </w:t>
      </w:r>
      <m:oMath>
        <m:sSub>
          <m:e>
            <m:r>
              <m:t>H</m:t>
            </m:r>
          </m:e>
          <m:sub>
            <m:r>
              <m:rPr>
                <m:sty m:val="p"/>
              </m:rPr>
              <m:t>l</m:t>
            </m:r>
            <m:r>
              <m:rPr>
                <m:sty m:val="p"/>
              </m:rPr>
              <m:t>o</m:t>
            </m:r>
            <m:r>
              <m:rPr>
                <m:sty m:val="p"/>
              </m:rPr>
              <m:t>c</m:t>
            </m:r>
          </m:sub>
        </m:sSub>
        <m:r>
          <m:rPr>
            <m:sty m:val="p"/>
          </m:rPr>
          <m:t>=</m:t>
        </m:r>
        <m:sSub>
          <m:e>
            <m:r>
              <m:t>v</m:t>
            </m:r>
          </m:e>
          <m:sub>
            <m:r>
              <m:rPr>
                <m:sty m:val="p"/>
              </m:rPr>
              <m:t>C</m:t>
            </m:r>
            <m:r>
              <m:rPr>
                <m:sty m:val="p"/>
              </m:rPr>
              <m:t>M</m:t>
            </m:r>
            <m:r>
              <m:rPr>
                <m:sty m:val="p"/>
              </m:rPr>
              <m:t>B</m:t>
            </m:r>
          </m:sub>
        </m:sSub>
        <m:r>
          <m:rPr>
            <m:sty m:val="p"/>
          </m:rPr>
          <m:t>/</m:t>
        </m:r>
        <m:r>
          <m:t>D</m:t>
        </m:r>
      </m:oMath>
      <w:r>
        <w:t xml:space="preserve"> </w:t>
      </w:r>
      <w:r>
        <w:t xml:space="preserve">and total</w:t>
      </w:r>
      <w:r>
        <w:t xml:space="preserve"> </w:t>
      </w:r>
      <m:oMath>
        <m:sSub>
          <m:e>
            <m:r>
              <m:t>K</m:t>
            </m:r>
          </m:e>
          <m:sub>
            <m:r>
              <m:t>s</m:t>
            </m:r>
          </m:sub>
        </m:sSub>
      </m:oMath>
      <w:r>
        <w:t xml:space="preserve">-band luminosity.</w:t>
      </w:r>
      <w:r>
        <w:t xml:space="preserve"> </w:t>
      </w:r>
      <m:oMath>
        <m:sSub>
          <m:e>
            <m:r>
              <m:t>H</m:t>
            </m:r>
          </m:e>
          <m:sub>
            <m:r>
              <m:rPr>
                <m:sty m:val="p"/>
              </m:rPr>
              <m:t>l</m:t>
            </m:r>
            <m:r>
              <m:rPr>
                <m:sty m:val="p"/>
              </m:rPr>
              <m:t>o</m:t>
            </m:r>
            <m:r>
              <m:rPr>
                <m:sty m:val="p"/>
              </m:rPr>
              <m:t>c</m:t>
            </m:r>
          </m:sub>
        </m:sSub>
      </m:oMath>
      <w:r>
        <w:t xml:space="preserve"> </w:t>
      </w:r>
      <w:r>
        <w:t xml:space="preserve">is an observer-frame proxy derived from redshift and distance; it is not a direct covariant expansion scalar and retains peculiar-motion contamination. A multivariable model adjusted for velocity trend, selection correction, richness, distance quality, and sky direction. The residual correlation was weak (</w:t>
      </w:r>
      <m:oMath>
        <m:r>
          <m:t>ρ</m:t>
        </m:r>
        <m:r>
          <m:rPr>
            <m:sty m:val="p"/>
          </m:rPr>
          <m:t>=</m:t>
        </m:r>
        <m:r>
          <m:t>0.0850</m:t>
        </m:r>
      </m:oMath>
      <w:r>
        <w:t xml:space="preserve">,</w:t>
      </w:r>
      <w:r>
        <w:t xml:space="preserve"> </w:t>
      </w:r>
      <m:oMath>
        <m:r>
          <m:t>p</m:t>
        </m:r>
        <m:r>
          <m:rPr>
            <m:sty m:val="p"/>
          </m:rPr>
          <m:t>=</m:t>
        </m:r>
        <m:r>
          <m:t>0.0128</m:t>
        </m:r>
      </m:oMath>
      <w:r>
        <w:t xml:space="preserve">), but the adjusted slope was positive:</w:t>
      </w:r>
      <w:r>
        <w:t xml:space="preserve"> </w:t>
      </w:r>
      <m:oMath>
        <m:r>
          <m:t>β</m:t>
        </m:r>
        <m:r>
          <m:rPr>
            <m:sty m:val="p"/>
          </m:rPr>
          <m:t>=</m:t>
        </m:r>
        <m:r>
          <m:t>0.0384</m:t>
        </m:r>
      </m:oMath>
      <w:r>
        <w:t xml:space="preserve"> </w:t>
      </w:r>
      <w:r>
        <w:t xml:space="preserve">dex per luminosity dex (95% CI 0.0068-0.0700;</w:t>
      </w:r>
      <w:r>
        <w:t xml:space="preserve"> </w:t>
      </w:r>
      <m:oMath>
        <m:r>
          <m:t>p</m:t>
        </m:r>
        <m:r>
          <m:rPr>
            <m:sty m:val="p"/>
          </m:rPr>
          <m:t>=</m:t>
        </m:r>
        <m:r>
          <m:t>0.0176</m:t>
        </m:r>
      </m:oMath>
      <w:r>
        <w:t xml:space="preserve">), equivalent to 9.2% higher</w:t>
      </w:r>
      <w:r>
        <w:t xml:space="preserve"> </w:t>
      </w:r>
      <m:oMath>
        <m:sSub>
          <m:e>
            <m:r>
              <m:t>H</m:t>
            </m:r>
          </m:e>
          <m:sub>
            <m:r>
              <m:rPr>
                <m:sty m:val="p"/>
              </m:rPr>
              <m:t>l</m:t>
            </m:r>
            <m:r>
              <m:rPr>
                <m:sty m:val="p"/>
              </m:rPr>
              <m:t>o</m:t>
            </m:r>
            <m:r>
              <m:rPr>
                <m:sty m:val="p"/>
              </m:rPr>
              <m:t>c</m:t>
            </m:r>
          </m:sub>
        </m:sSub>
      </m:oMath>
      <w:r>
        <w:t xml:space="preserve"> </w:t>
      </w:r>
      <w:r>
        <w:t xml:space="preserve">per luminosity decade. The strict subset remained positive, whereas the SN Ia-only subset was null. CF3 therefore provides preliminary sign-level consistency evidence that justifies continued testing; it does not establish causation, a specific response function, or a value of</w:t>
      </w:r>
      <w:r>
        <w:t xml:space="preserve"> </w:t>
      </w:r>
      <m:oMath>
        <m:r>
          <m:t>κ</m:t>
        </m:r>
      </m:oMath>
      <w:r>
        <w:t xml:space="preserve">.</w:t>
      </w:r>
    </w:p>
    <w:p>
      <w:pPr>
        <w:pStyle w:val="BodyText"/>
      </w:pPr>
      <w:r>
        <w:rPr>
          <w:bCs/>
          <w:b/>
        </w:rPr>
        <w:t xml:space="preserve">Keywords:</w:t>
      </w:r>
      <w:r>
        <w:t xml:space="preserve"> </w:t>
      </w:r>
      <w:r>
        <w:t xml:space="preserve">local Hubble flow; galaxy-group luminosity; Cosmicflows-3; redshift; peculiar velocity; radiation-matter conversion; correlation test</w:t>
      </w:r>
    </w:p>
    <w:bookmarkEnd w:id="20"/>
    <w:bookmarkStart w:id="21" w:name="introduction"/>
    <w:p>
      <w:pPr>
        <w:pStyle w:val="Heading1"/>
      </w:pPr>
      <w:r>
        <w:t xml:space="preserve">1. Introduction</w:t>
      </w:r>
    </w:p>
    <w:p>
      <w:pPr>
        <w:pStyle w:val="FirstParagraph"/>
      </w:pPr>
      <w:r>
        <w:t xml:space="preserve">Redshift is the appropriate observational starting point for testing expansion-like effects, but it is not a pure expansion coefficient. At finite distance, an observed redshift combines the background Hubble flow with line-of-sight peculiar motion, gravitational and propagation effects, distance uncertainty, and calibration structure [1-4]. Consequently, a redshift-distance ratio can reveal a regional association without directly measuring a covariant local expansion scalar.</w:t>
      </w:r>
    </w:p>
    <w:p>
      <w:pPr>
        <w:pStyle w:val="BodyText"/>
      </w:pPr>
      <w:r>
        <w:t xml:space="preserve">A companion phenomenological model proposes that a collective luminous field and its radiation-matter conversion current may contribute an expansion-like regional response [5]. Under an extreme leading-order simplification, the regional closure was written</w:t>
      </w:r>
    </w:p>
    <w:p>
      <w:pPr>
        <w:pStyle w:val="BodyText"/>
        <w:keepLines/>
        <w:spacing w:before="100" w:after="140"/>
        <w:jc w:val="center"/>
      </w:pPr>
      <m:oMathPara>
        <m:oMathParaPr>
          <m:jc m:val="center"/>
        </m:oMathParaPr>
        <m:oMath>
          <m:sSub>
            <m:e>
              <m:r>
                <m:t>H</m:t>
              </m:r>
            </m:e>
            <m:sub>
              <m:r>
                <m:t>D</m:t>
              </m:r>
            </m:sub>
          </m:sSub>
          <m:r>
            <m:rPr>
              <m:sty m:val="p"/>
            </m:rPr>
            <m:t>=</m:t>
          </m:r>
          <m:sSub>
            <m:e>
              <m:r>
                <m:t>H</m:t>
              </m:r>
            </m:e>
            <m:sub>
              <m:r>
                <m:rPr>
                  <m:sty m:val="p"/>
                </m:rPr>
                <m:t>b</m:t>
              </m:r>
              <m:r>
                <m:rPr>
                  <m:sty m:val="p"/>
                </m:rPr>
                <m:t>g</m:t>
              </m:r>
              <m:r>
                <m:rPr>
                  <m:sty m:val="p"/>
                </m:rPr>
                <m:t>,</m:t>
              </m:r>
              <m:r>
                <m:t>D</m:t>
              </m:r>
            </m:sub>
          </m:sSub>
          <m:r>
            <m:rPr>
              <m:sty m:val="p"/>
            </m:rPr>
            <m:t>+</m:t>
          </m:r>
          <m:sSub>
            <m:e>
              <m:r>
                <m:t>σ</m:t>
              </m:r>
            </m:e>
            <m:sub>
              <m:r>
                <m:t>s</m:t>
              </m:r>
            </m:sub>
          </m:sSub>
          <m:sSub>
            <m:e>
              <m:r>
                <m:t>χ</m:t>
              </m:r>
            </m:e>
            <m:sub>
              <m:r>
                <m:t>γ</m:t>
              </m:r>
              <m:r>
                <m:rPr>
                  <m:sty m:val="p"/>
                </m:rPr>
                <m:t>,</m:t>
              </m:r>
              <m:r>
                <m:t>s</m:t>
              </m:r>
            </m:sub>
          </m:sSub>
          <m:f>
            <m:fPr>
              <m:type m:val="bar"/>
            </m:fPr>
            <m:num>
              <m:r>
                <m:t>G</m:t>
              </m:r>
              <m:sSubSup>
                <m:e>
                  <m:r>
                    <m:t>L</m:t>
                  </m:r>
                </m:e>
                <m:sub>
                  <m:r>
                    <m:t>γ</m:t>
                  </m:r>
                  <m:r>
                    <m:rPr>
                      <m:sty m:val="p"/>
                    </m:rPr>
                    <m:t>,</m:t>
                  </m:r>
                  <m:r>
                    <m:t>D</m:t>
                  </m:r>
                </m:sub>
                <m:sup>
                  <m:r>
                    <m:rPr>
                      <m:sty m:val="p"/>
                    </m:rPr>
                    <m:t>e</m:t>
                  </m:r>
                  <m:r>
                    <m:rPr>
                      <m:sty m:val="p"/>
                    </m:rPr>
                    <m:t>f</m:t>
                  </m:r>
                  <m:r>
                    <m:rPr>
                      <m:sty m:val="p"/>
                    </m:rPr>
                    <m:t>f</m:t>
                  </m:r>
                </m:sup>
              </m:sSubSup>
            </m:num>
            <m:den>
              <m:sSup>
                <m:e>
                  <m:r>
                    <m:t>c</m:t>
                  </m:r>
                </m:e>
                <m:sup>
                  <m:r>
                    <m:t>4</m:t>
                  </m:r>
                </m:sup>
              </m:sSup>
              <m:sSub>
                <m:e>
                  <m:r>
                    <m:t>R</m:t>
                  </m:r>
                </m:e>
                <m:sub>
                  <m:r>
                    <m:t>D</m:t>
                  </m:r>
                </m:sub>
              </m:sSub>
            </m:den>
          </m:f>
          <m:r>
            <m:rPr>
              <m:sty m:val="p"/>
            </m:rPr>
            <m:t>,</m:t>
          </m:r>
          <m:r>
            <m:rPr>
              <m:sty m:val="p"/>
            </m:rPr>
            <m:t>  (1)</m:t>
          </m:r>
        </m:oMath>
      </m:oMathPara>
    </w:p>
    <w:p>
      <w:pPr>
        <w:pStyle w:val="FirstParagraph"/>
      </w:pPr>
      <w:r>
        <w:t xml:space="preserve">where</w:t>
      </w:r>
      <w:r>
        <w:t xml:space="preserve"> </w:t>
      </w:r>
      <m:oMath>
        <m:sSubSup>
          <m:e>
            <m:r>
              <m:t>L</m:t>
            </m:r>
          </m:e>
          <m:sub>
            <m:r>
              <m:t>γ</m:t>
            </m:r>
            <m:r>
              <m:rPr>
                <m:sty m:val="p"/>
              </m:rPr>
              <m:t>,</m:t>
            </m:r>
            <m:r>
              <m:t>D</m:t>
            </m:r>
          </m:sub>
          <m:sup>
            <m:r>
              <m:rPr>
                <m:sty m:val="p"/>
              </m:rPr>
              <m:t>e</m:t>
            </m:r>
            <m:r>
              <m:rPr>
                <m:sty m:val="p"/>
              </m:rPr>
              <m:t>f</m:t>
            </m:r>
            <m:r>
              <m:rPr>
                <m:sty m:val="p"/>
              </m:rPr>
              <m:t>f</m:t>
            </m:r>
          </m:sup>
        </m:sSubSup>
      </m:oMath>
      <w:r>
        <w:t xml:space="preserve"> </w:t>
      </w:r>
      <w:r>
        <w:t xml:space="preserve">is a conversion-weighted radiation budget and</w:t>
      </w:r>
      <w:r>
        <w:t xml:space="preserve"> </w:t>
      </w:r>
      <m:oMath>
        <m:sSub>
          <m:e>
            <m:r>
              <m:t>R</m:t>
            </m:r>
          </m:e>
          <m:sub>
            <m:r>
              <m:t>D</m:t>
            </m:r>
          </m:sub>
        </m:sSub>
      </m:oMath>
      <w:r>
        <w:t xml:space="preserve"> </w:t>
      </w:r>
      <w:r>
        <w:t xml:space="preserve">is a regional scale. Equation (1) is an illustrative closure, not the functional form tested here. The underlying fixed-</w:t>
      </w:r>
      <m:oMath>
        <m:r>
          <m:t>κ</m:t>
        </m:r>
      </m:oMath>
      <w:r>
        <w:t xml:space="preserve"> </w:t>
      </w:r>
      <w:r>
        <w:t xml:space="preserve">contained-volume scaling and event-level impulse picture permit macroscopic accumulation over many events [5,14]; therefore the final luminosity-redshift relation may be nonlinear, history dependent, or scale dependent. The present experiment tests only whether its minimal predicted sign is detectable.</w:t>
      </w:r>
    </w:p>
    <w:p>
      <w:pPr>
        <w:pStyle w:val="BodyText"/>
      </w:pPr>
      <w:r>
        <w:t xml:space="preserve">Galaxy groups provide a first catalog-level test because distances, CMB-frame redshift velocities, and aggregate luminosities can be attached to the same systems. Cosmicflows-3 (CF3) contains 17,669 galaxy distance measurements and a summary table of 11,508 group nests [1,6,7]. Group averaging reduces individual orbital-velocity noise but does not remove coherent peculiar flows.</w:t>
      </w:r>
    </w:p>
    <w:p>
      <w:pPr>
        <w:pStyle w:val="BodyText"/>
      </w:pPr>
      <w:r>
        <w:t xml:space="preserve">The study asks one deliberately limited question: after controlling major catalog-level trends, is cataloged near-infrared luminosity positively associated with an observer-frame local-expansion proxy? It does not estimate</w:t>
      </w:r>
      <w:r>
        <w:t xml:space="preserve"> </w:t>
      </w:r>
      <m:oMath>
        <m:r>
          <m:t>κ</m:t>
        </m:r>
      </m:oMath>
      <w:r>
        <w:t xml:space="preserve">, prove a causal expansion mechanism, or determine an analytic response function.</w:t>
      </w:r>
    </w:p>
    <w:bookmarkEnd w:id="21"/>
    <w:bookmarkStart w:id="24" w:name="data"/>
    <w:p>
      <w:pPr>
        <w:pStyle w:val="Heading1"/>
      </w:pPr>
      <w:r>
        <w:t xml:space="preserve">2. Data</w:t>
      </w:r>
    </w:p>
    <w:bookmarkStart w:id="22" w:name="cosmicflows-3-group-catalog"/>
    <w:p>
      <w:pPr>
        <w:pStyle w:val="Heading2"/>
      </w:pPr>
      <w:r>
        <w:t xml:space="preserve">2.1 Cosmicflows-3 group catalog</w:t>
      </w:r>
    </w:p>
    <w:p>
      <w:pPr>
        <w:pStyle w:val="FirstParagraph"/>
      </w:pPr>
      <w:r>
        <w:t xml:space="preserve">We used CF3 tables 2 and 3 as distributed through VizieR under catalog identifier J/AJ/152/50 [1,8]. Table 2 summarizes 11,508 groups; 1,704 have two or more distance measurements. The fields used were group identifier, weighted mean distance modulus and uncertainty, luminosity distance</w:t>
      </w:r>
      <w:r>
        <w:t xml:space="preserve"> </w:t>
      </w:r>
      <m:oMath>
        <m:r>
          <m:t>D</m:t>
        </m:r>
      </m:oMath>
      <w:r>
        <w:t xml:space="preserve">, number of contributing distance measurements, group velocity in the CMB frame</w:t>
      </w:r>
      <w:r>
        <w:t xml:space="preserve"> </w:t>
      </w:r>
      <m:oMath>
        <m:sSub>
          <m:e>
            <m:r>
              <m:t>v</m:t>
            </m:r>
          </m:e>
          <m:sub>
            <m:r>
              <m:rPr>
                <m:sty m:val="p"/>
              </m:rPr>
              <m:t>C</m:t>
            </m:r>
            <m:r>
              <m:rPr>
                <m:sty m:val="p"/>
              </m:rPr>
              <m:t>M</m:t>
            </m:r>
            <m:r>
              <m:rPr>
                <m:sty m:val="p"/>
              </m:rPr>
              <m:t>B</m:t>
            </m:r>
          </m:sub>
        </m:sSub>
      </m:oMath>
      <w:r>
        <w:t xml:space="preserve">, summed</w:t>
      </w:r>
      <w:r>
        <w:t xml:space="preserve"> </w:t>
      </w:r>
      <m:oMath>
        <m:sSub>
          <m:e>
            <m:r>
              <m:t>K</m:t>
            </m:r>
          </m:e>
          <m:sub>
            <m:r>
              <m:t>s</m:t>
            </m:r>
          </m:sub>
        </m:sSub>
      </m:oMath>
      <w:r>
        <w:t xml:space="preserve">-band luminosity</w:t>
      </w:r>
      <w:r>
        <w:t xml:space="preserve"> </w:t>
      </w:r>
      <m:oMath>
        <m:sSub>
          <m:e>
            <m:r>
              <m:rPr>
                <m:sty m:val="p"/>
              </m:rPr>
              <m:t>log</m:t>
            </m:r>
          </m:e>
          <m:sub>
            <m:r>
              <m:t>10</m:t>
            </m:r>
          </m:sub>
        </m:sSub>
        <m:d>
          <m:dPr>
            <m:begChr m:val="("/>
            <m:endChr m:val=")"/>
            <m:sepChr m:val=""/>
            <m:grow/>
          </m:dPr>
          <m:e>
            <m:sSub>
              <m:e>
                <m:r>
                  <m:t>L</m:t>
                </m:r>
              </m:e>
              <m:sub>
                <m:sSub>
                  <m:e>
                    <m:r>
                      <m:t>K</m:t>
                    </m:r>
                  </m:e>
                  <m:sub>
                    <m:r>
                      <m:t>s</m:t>
                    </m:r>
                  </m:sub>
                </m:sSub>
              </m:sub>
            </m:sSub>
            <m:r>
              <m:rPr>
                <m:sty m:val="p"/>
              </m:rPr>
              <m:t>/</m:t>
            </m:r>
            <m:sSub>
              <m:e>
                <m:r>
                  <m:t>L</m:t>
                </m:r>
              </m:e>
              <m:sub>
                <m:r>
                  <m:rPr>
                    <m:sty m:val="p"/>
                  </m:rPr>
                  <m:t>⊙</m:t>
                </m:r>
              </m:sub>
            </m:sSub>
          </m:e>
        </m:d>
      </m:oMath>
      <w:r>
        <w:t xml:space="preserve">, luminosity-selection correction factor, group richness, and Galactic sky coordinates.</w:t>
      </w:r>
    </w:p>
    <w:p>
      <w:pPr>
        <w:pStyle w:val="BodyText"/>
      </w:pPr>
      <w:r>
        <w:t xml:space="preserve">The near-infrared luminosity originates from the 2MASS group construction [6,7]. It traces the older stellar population more closely than blue-band luminosity, but it is neither bolometric luminosity nor the model’s conversion-weighted radiation budget. Its absolute scale also uses a redshift-derived distance convention and a correction for missed light [1]. We therefore analyzed luminosity residuals at controlled velocity rather than treating the published luminosity as statistically independent of redshift.</w:t>
      </w:r>
    </w:p>
    <w:bookmarkEnd w:id="22"/>
    <w:bookmarkStart w:id="23" w:name="primary-and-sensitivity-samples"/>
    <w:p>
      <w:pPr>
        <w:pStyle w:val="Heading2"/>
        <w:pageBreakBefore/>
      </w:pPr>
      <w:r>
        <w:t xml:space="preserve">2.2 Primary and sensitivity samples</w:t>
      </w:r>
    </w:p>
    <w:p>
      <w:pPr>
        <w:pStyle w:val="FirstParagraph"/>
      </w:pPr>
      <w:r>
        <w:t xml:space="preserve">The primary sample used the following criteria:</w:t>
      </w:r>
    </w:p>
    <w:p>
      <w:pPr>
        <w:numPr>
          <w:ilvl w:val="0"/>
          <w:numId w:val="1001"/>
        </w:numPr>
        <w:pStyle w:val="Compact"/>
      </w:pPr>
      <m:oMath>
        <m:r>
          <m:t>3000</m:t>
        </m:r>
        <m:r>
          <m:rPr>
            <m:sty m:val="p"/>
          </m:rPr>
          <m:t>≤</m:t>
        </m:r>
        <m:sSub>
          <m:e>
            <m:r>
              <m:t>v</m:t>
            </m:r>
          </m:e>
          <m:sub>
            <m:r>
              <m:rPr>
                <m:sty m:val="p"/>
              </m:rPr>
              <m:t>C</m:t>
            </m:r>
            <m:r>
              <m:rPr>
                <m:sty m:val="p"/>
              </m:rPr>
              <m:t>M</m:t>
            </m:r>
            <m:r>
              <m:rPr>
                <m:sty m:val="p"/>
              </m:rPr>
              <m:t>B</m:t>
            </m:r>
          </m:sub>
        </m:sSub>
        <m:r>
          <m:rPr>
            <m:sty m:val="p"/>
          </m:rPr>
          <m:t>≤</m:t>
        </m:r>
        <m:r>
          <m:t>15000</m:t>
        </m:r>
      </m:oMath>
      <w:r>
        <w:t xml:space="preserve"> </w:t>
      </w:r>
      <w:r>
        <w:t xml:space="preserve">km s⁻¹;</w:t>
      </w:r>
    </w:p>
    <w:p>
      <w:pPr>
        <w:numPr>
          <w:ilvl w:val="0"/>
          <w:numId w:val="1001"/>
        </w:numPr>
        <w:pStyle w:val="Compact"/>
      </w:pPr>
      <w:r>
        <w:t xml:space="preserve">at least two group distance measurements;</w:t>
      </w:r>
    </w:p>
    <w:p>
      <w:pPr>
        <w:numPr>
          <w:ilvl w:val="0"/>
          <w:numId w:val="1001"/>
        </w:numPr>
        <w:pStyle w:val="Compact"/>
      </w:pPr>
      <w:r>
        <w:t xml:space="preserve">distance-modulus uncertainty</w:t>
      </w:r>
      <w:r>
        <w:t xml:space="preserve"> </w:t>
      </w:r>
      <m:oMath>
        <m:sSub>
          <m:e>
            <m:r>
              <m:t>σ</m:t>
            </m:r>
          </m:e>
          <m:sub>
            <m:r>
              <m:t>μ</m:t>
            </m:r>
          </m:sub>
        </m:sSub>
        <m:r>
          <m:rPr>
            <m:sty m:val="p"/>
          </m:rPr>
          <m:t>≤</m:t>
        </m:r>
        <m:r>
          <m:t>0.30</m:t>
        </m:r>
      </m:oMath>
      <w:r>
        <w:t xml:space="preserve"> </w:t>
      </w:r>
      <w:r>
        <w:t xml:space="preserve">mag;</w:t>
      </w:r>
    </w:p>
    <w:p>
      <w:pPr>
        <w:numPr>
          <w:ilvl w:val="0"/>
          <w:numId w:val="1001"/>
        </w:numPr>
        <w:pStyle w:val="Compact"/>
      </w:pPr>
      <w:r>
        <w:t xml:space="preserve">luminosity correction factor</w:t>
      </w:r>
      <w:r>
        <w:t xml:space="preserve"> </w:t>
      </w:r>
      <m:oMath>
        <m:r>
          <m:t>1</m:t>
        </m:r>
        <m:r>
          <m:rPr>
            <m:sty m:val="p"/>
          </m:rPr>
          <m:t>≤</m:t>
        </m:r>
        <m:sSub>
          <m:e>
            <m:r>
              <m:t>C</m:t>
            </m:r>
          </m:e>
          <m:sub>
            <m:r>
              <m:t>F</m:t>
            </m:r>
          </m:sub>
        </m:sSub>
        <m:r>
          <m:rPr>
            <m:sty m:val="p"/>
          </m:rPr>
          <m:t>≤</m:t>
        </m:r>
        <m:r>
          <m:t>10</m:t>
        </m:r>
      </m:oMath>
      <w:r>
        <w:t xml:space="preserve">;</w:t>
      </w:r>
    </w:p>
    <w:p>
      <w:pPr>
        <w:numPr>
          <w:ilvl w:val="0"/>
          <w:numId w:val="1001"/>
        </w:numPr>
        <w:pStyle w:val="Compact"/>
      </w:pPr>
      <w:r>
        <w:t xml:space="preserve">finite positive distance, velocity, luminosity, and richness; and</w:t>
      </w:r>
    </w:p>
    <w:p>
      <w:pPr>
        <w:numPr>
          <w:ilvl w:val="0"/>
          <w:numId w:val="1001"/>
        </w:numPr>
        <w:pStyle w:val="Compact"/>
      </w:pPr>
      <m:oMath>
        <m:r>
          <m:t>40</m:t>
        </m:r>
        <m:r>
          <m:rPr>
            <m:sty m:val="p"/>
          </m:rPr>
          <m:t>≤</m:t>
        </m:r>
        <m:sSub>
          <m:e>
            <m:r>
              <m:t>H</m:t>
            </m:r>
          </m:e>
          <m:sub>
            <m:r>
              <m:rPr>
                <m:sty m:val="p"/>
              </m:rPr>
              <m:t>l</m:t>
            </m:r>
            <m:r>
              <m:rPr>
                <m:sty m:val="p"/>
              </m:rPr>
              <m:t>o</m:t>
            </m:r>
            <m:r>
              <m:rPr>
                <m:sty m:val="p"/>
              </m:rPr>
              <m:t>c</m:t>
            </m:r>
          </m:sub>
        </m:sSub>
        <m:r>
          <m:rPr>
            <m:sty m:val="p"/>
          </m:rPr>
          <m:t>≤</m:t>
        </m:r>
        <m:r>
          <m:t>110</m:t>
        </m:r>
      </m:oMath>
      <w:r>
        <w:t xml:space="preserve"> </w:t>
      </w:r>
      <w:r>
        <w:t xml:space="preserve">km s⁻¹ Mpc⁻¹ to remove catastrophic velocity-distance ratios rather than tune a preferred result.</w:t>
      </w:r>
    </w:p>
    <w:p>
      <w:pPr>
        <w:pStyle w:val="FirstParagraph"/>
      </w:pPr>
      <w:r>
        <w:t xml:space="preserve">These filters retained 858 groups spanning</w:t>
      </w:r>
      <w:r>
        <w:t xml:space="preserve"> </w:t>
      </w:r>
      <m:oMath>
        <m:r>
          <m:t>10.06</m:t>
        </m:r>
        <m:r>
          <m:rPr>
            <m:sty m:val="p"/>
          </m:rPr>
          <m:t>≤</m:t>
        </m:r>
        <m:sSub>
          <m:e>
            <m:r>
              <m:rPr>
                <m:sty m:val="p"/>
              </m:rPr>
              <m:t>log</m:t>
            </m:r>
          </m:e>
          <m:sub>
            <m:r>
              <m:t>10</m:t>
            </m:r>
          </m:sub>
        </m:sSub>
        <m:d>
          <m:dPr>
            <m:begChr m:val="("/>
            <m:endChr m:val=")"/>
            <m:sepChr m:val=""/>
            <m:grow/>
          </m:dPr>
          <m:e>
            <m:sSub>
              <m:e>
                <m:r>
                  <m:t>L</m:t>
                </m:r>
              </m:e>
              <m:sub>
                <m:sSub>
                  <m:e>
                    <m:r>
                      <m:t>K</m:t>
                    </m:r>
                  </m:e>
                  <m:sub>
                    <m:r>
                      <m:t>s</m:t>
                    </m:r>
                  </m:sub>
                </m:sSub>
              </m:sub>
            </m:sSub>
            <m:r>
              <m:rPr>
                <m:sty m:val="p"/>
              </m:rPr>
              <m:t>/</m:t>
            </m:r>
            <m:sSub>
              <m:e>
                <m:r>
                  <m:t>L</m:t>
                </m:r>
              </m:e>
              <m:sub>
                <m:r>
                  <m:rPr>
                    <m:sty m:val="p"/>
                  </m:rPr>
                  <m:t>⊙</m:t>
                </m:r>
              </m:sub>
            </m:sSub>
          </m:e>
        </m:d>
        <m:r>
          <m:rPr>
            <m:sty m:val="p"/>
          </m:rPr>
          <m:t>≤</m:t>
        </m:r>
        <m:r>
          <m:t>14.21</m:t>
        </m:r>
      </m:oMath>
      <w:r>
        <w:t xml:space="preserve">. Median</w:t>
      </w:r>
      <w:r>
        <w:t xml:space="preserve"> </w:t>
      </w:r>
      <m:oMath>
        <m:sSub>
          <m:e>
            <m:r>
              <m:t>H</m:t>
            </m:r>
          </m:e>
          <m:sub>
            <m:r>
              <m:rPr>
                <m:sty m:val="p"/>
              </m:rPr>
              <m:t>l</m:t>
            </m:r>
            <m:r>
              <m:rPr>
                <m:sty m:val="p"/>
              </m:rPr>
              <m:t>o</m:t>
            </m:r>
            <m:r>
              <m:rPr>
                <m:sty m:val="p"/>
              </m:rPr>
              <m:t>c</m:t>
            </m:r>
          </m:sub>
        </m:sSub>
      </m:oMath>
      <w:r>
        <w:t xml:space="preserve"> </w:t>
      </w:r>
      <w:r>
        <w:t xml:space="preserve">was 73.02 km s⁻¹ Mpc⁻¹, with an interquartile range of 67.23-79.21.</w:t>
      </w:r>
    </w:p>
    <w:p>
      <w:pPr>
        <w:pStyle w:val="BodyText"/>
      </w:pPr>
      <w:r>
        <w:t xml:space="preserve">A strict-quality sensitivity sample required at least three distance measurements,</w:t>
      </w:r>
      <w:r>
        <w:t xml:space="preserve"> </w:t>
      </w:r>
      <m:oMath>
        <m:sSub>
          <m:e>
            <m:r>
              <m:t>σ</m:t>
            </m:r>
          </m:e>
          <m:sub>
            <m:r>
              <m:t>μ</m:t>
            </m:r>
          </m:sub>
        </m:sSub>
        <m:r>
          <m:rPr>
            <m:sty m:val="p"/>
          </m:rPr>
          <m:t>≤</m:t>
        </m:r>
        <m:r>
          <m:t>0.20</m:t>
        </m:r>
      </m:oMath>
      <w:r>
        <w:t xml:space="preserve"> </w:t>
      </w:r>
      <w:r>
        <w:t xml:space="preserve">mag, and</w:t>
      </w:r>
      <w:r>
        <w:t xml:space="preserve"> </w:t>
      </w:r>
      <m:oMath>
        <m:sSub>
          <m:e>
            <m:r>
              <m:t>C</m:t>
            </m:r>
          </m:e>
          <m:sub>
            <m:r>
              <m:t>F</m:t>
            </m:r>
          </m:sub>
        </m:sSub>
        <m:r>
          <m:rPr>
            <m:sty m:val="p"/>
          </m:rPr>
          <m:t>≤</m:t>
        </m:r>
        <m:r>
          <m:t>5</m:t>
        </m:r>
      </m:oMath>
      <w:r>
        <w:t xml:space="preserve">, retaining 242 groups. A separate SN Ia-only sample used median repeated SN Ia distance moduli and retained 188 groups. The SN-only analysis is a sensitivity test, not an independent replication.</w:t>
      </w:r>
    </w:p>
    <w:bookmarkEnd w:id="23"/>
    <w:bookmarkEnd w:id="24"/>
    <w:bookmarkStart w:id="28" w:name="methods"/>
    <w:p>
      <w:pPr>
        <w:pStyle w:val="Heading1"/>
      </w:pPr>
      <w:r>
        <w:t xml:space="preserve">3. Methods</w:t>
      </w:r>
    </w:p>
    <w:bookmarkStart w:id="25" w:name="observer-frame-local-expansion-proxy"/>
    <w:p>
      <w:pPr>
        <w:pStyle w:val="Heading2"/>
      </w:pPr>
      <w:r>
        <w:t xml:space="preserve">3.1 Observer-frame local-expansion proxy</w:t>
      </w:r>
    </w:p>
    <w:p>
      <w:pPr>
        <w:pStyle w:val="FirstParagraph"/>
      </w:pPr>
      <w:r>
        <w:t xml:space="preserve">For group</w:t>
      </w:r>
      <w:r>
        <w:t xml:space="preserve"> </w:t>
      </w:r>
      <m:oMath>
        <m:r>
          <m:t>i</m:t>
        </m:r>
      </m:oMath>
      <w:r>
        <w:t xml:space="preserve">, the proxy was</w:t>
      </w:r>
    </w:p>
    <w:p>
      <w:pPr>
        <w:pStyle w:val="BodyText"/>
        <w:keepLines/>
        <w:spacing w:before="100" w:after="140"/>
        <w:jc w:val="center"/>
      </w:pPr>
      <m:oMathPara>
        <m:oMathParaPr>
          <m:jc m:val="center"/>
        </m:oMathParaPr>
        <m:oMath>
          <m:sSub>
            <m:e>
              <m:r>
                <m:t>H</m:t>
              </m:r>
            </m:e>
            <m:sub>
              <m:r>
                <m:rPr>
                  <m:sty m:val="p"/>
                </m:rPr>
                <m:t>l</m:t>
              </m:r>
              <m:r>
                <m:rPr>
                  <m:sty m:val="p"/>
                </m:rPr>
                <m:t>o</m:t>
              </m:r>
              <m:r>
                <m:rPr>
                  <m:sty m:val="p"/>
                </m:rPr>
                <m:t>c</m:t>
              </m:r>
              <m:r>
                <m:rPr>
                  <m:sty m:val="p"/>
                </m:rPr>
                <m:t>,</m:t>
              </m:r>
              <m:r>
                <m:t>i</m:t>
              </m:r>
            </m:sub>
          </m:sSub>
          <m:r>
            <m:rPr>
              <m:sty m:val="p"/>
            </m:rPr>
            <m:t>=</m:t>
          </m:r>
          <m:f>
            <m:fPr>
              <m:type m:val="bar"/>
            </m:fPr>
            <m:num>
              <m:sSub>
                <m:e>
                  <m:r>
                    <m:t>v</m:t>
                  </m:r>
                </m:e>
                <m:sub>
                  <m:r>
                    <m:rPr>
                      <m:sty m:val="p"/>
                    </m:rPr>
                    <m:t>C</m:t>
                  </m:r>
                  <m:r>
                    <m:rPr>
                      <m:sty m:val="p"/>
                    </m:rPr>
                    <m:t>M</m:t>
                  </m:r>
                  <m:r>
                    <m:rPr>
                      <m:sty m:val="p"/>
                    </m:rPr>
                    <m:t>B</m:t>
                  </m:r>
                  <m:r>
                    <m:rPr>
                      <m:sty m:val="p"/>
                    </m:rPr>
                    <m:t>,</m:t>
                  </m:r>
                  <m:r>
                    <m:t>i</m:t>
                  </m:r>
                </m:sub>
              </m:sSub>
            </m:num>
            <m:den>
              <m:sSub>
                <m:e>
                  <m:r>
                    <m:t>D</m:t>
                  </m:r>
                </m:e>
                <m:sub>
                  <m:r>
                    <m:t>i</m:t>
                  </m:r>
                </m:sub>
              </m:sSub>
            </m:den>
          </m:f>
          <m:r>
            <m:rPr>
              <m:sty m:val="p"/>
            </m:rPr>
            <m:t>.</m:t>
          </m:r>
          <m:r>
            <m:rPr>
              <m:sty m:val="p"/>
            </m:rPr>
            <m:t>  (2)</m:t>
          </m:r>
        </m:oMath>
      </m:oMathPara>
    </w:p>
    <w:p>
      <w:pPr>
        <w:pStyle w:val="FirstParagraph"/>
      </w:pPr>
      <w:r>
        <w:t xml:space="preserve">For grouped analyses,</w:t>
      </w:r>
      <w:r>
        <w:t xml:space="preserve"> </w:t>
      </w:r>
      <m:oMath>
        <m:sSub>
          <m:e>
            <m:r>
              <m:t>D</m:t>
            </m:r>
          </m:e>
          <m:sub>
            <m:r>
              <m:t>i</m:t>
            </m:r>
          </m:sub>
        </m:sSub>
      </m:oMath>
      <w:r>
        <w:t xml:space="preserve"> </w:t>
      </w:r>
      <w:r>
        <w:t xml:space="preserve">was the CF3 weighted group distance. For the SN-only analysis, the distance in Mpc was</w:t>
      </w:r>
    </w:p>
    <w:p>
      <w:pPr>
        <w:pStyle w:val="BodyText"/>
        <w:keepLines/>
        <w:spacing w:before="100" w:after="140"/>
        <w:jc w:val="center"/>
      </w:pPr>
      <m:oMathPara>
        <m:oMathParaPr>
          <m:jc m:val="center"/>
        </m:oMathParaPr>
        <m:oMath>
          <m:sSub>
            <m:e>
              <m:r>
                <m:t>D</m:t>
              </m:r>
            </m:e>
            <m:sub>
              <m:r>
                <m:rPr>
                  <m:sty m:val="p"/>
                </m:rPr>
                <m:t>S</m:t>
              </m:r>
              <m:r>
                <m:rPr>
                  <m:sty m:val="p"/>
                </m:rPr>
                <m:t>N</m:t>
              </m:r>
              <m:r>
                <m:rPr>
                  <m:sty m:val="p"/>
                </m:rPr>
                <m:t>,</m:t>
              </m:r>
              <m:r>
                <m:t>i</m:t>
              </m:r>
            </m:sub>
          </m:sSub>
          <m:r>
            <m:rPr>
              <m:sty m:val="p"/>
            </m:rPr>
            <m:t>=</m:t>
          </m:r>
          <m:sSup>
            <m:e>
              <m:r>
                <m:t>10</m:t>
              </m:r>
            </m:e>
            <m:sup>
              <m:d>
                <m:dPr>
                  <m:begChr m:val="("/>
                  <m:endChr m:val=")"/>
                  <m:sepChr m:val=""/>
                  <m:grow/>
                </m:dPr>
                <m:e>
                  <m:sSub>
                    <m:e>
                      <m:r>
                        <m:t>μ</m:t>
                      </m:r>
                    </m:e>
                    <m:sub>
                      <m:r>
                        <m:rPr>
                          <m:sty m:val="p"/>
                        </m:rPr>
                        <m:t>S</m:t>
                      </m:r>
                      <m:r>
                        <m:rPr>
                          <m:sty m:val="p"/>
                        </m:rPr>
                        <m:t>N</m:t>
                      </m:r>
                      <m:r>
                        <m:rPr>
                          <m:sty m:val="p"/>
                        </m:rPr>
                        <m:t>,</m:t>
                      </m:r>
                      <m:r>
                        <m:t>i</m:t>
                      </m:r>
                    </m:sub>
                  </m:sSub>
                  <m:r>
                    <m:rPr>
                      <m:sty m:val="p"/>
                    </m:rPr>
                    <m:t>−</m:t>
                  </m:r>
                  <m:r>
                    <m:t>25</m:t>
                  </m:r>
                </m:e>
              </m:d>
              <m:r>
                <m:rPr>
                  <m:sty m:val="p"/>
                </m:rPr>
                <m:t>/</m:t>
              </m:r>
              <m:r>
                <m:t>5</m:t>
              </m:r>
            </m:sup>
          </m:sSup>
          <m:r>
            <m:rPr>
              <m:sty m:val="p"/>
            </m:rPr>
            <m:t>.</m:t>
          </m:r>
          <m:r>
            <m:rPr>
              <m:sty m:val="p"/>
            </m:rPr>
            <m:t>  (3)</m:t>
          </m:r>
        </m:oMath>
      </m:oMathPara>
    </w:p>
    <w:p>
      <w:pPr>
        <w:pStyle w:val="FirstParagraph"/>
      </w:pPr>
      <w:r>
        <w:t xml:space="preserve">Because</w:t>
      </w:r>
      <w:r>
        <w:t xml:space="preserve"> </w:t>
      </w:r>
      <m:oMath>
        <m:sSub>
          <m:e>
            <m:r>
              <m:t>v</m:t>
            </m:r>
          </m:e>
          <m:sub>
            <m:r>
              <m:rPr>
                <m:sty m:val="p"/>
              </m:rPr>
              <m:t>C</m:t>
            </m:r>
            <m:r>
              <m:rPr>
                <m:sty m:val="p"/>
              </m:rPr>
              <m:t>M</m:t>
            </m:r>
            <m:r>
              <m:rPr>
                <m:sty m:val="p"/>
              </m:rPr>
              <m:t>B</m:t>
            </m:r>
          </m:sub>
        </m:sSub>
      </m:oMath>
      <w:r>
        <w:t xml:space="preserve"> </w:t>
      </w:r>
      <w:r>
        <w:t xml:space="preserve">is inferred from redshift,</w:t>
      </w:r>
      <w:r>
        <w:t xml:space="preserve"> </w:t>
      </w:r>
      <m:oMath>
        <m:sSub>
          <m:e>
            <m:r>
              <m:t>H</m:t>
            </m:r>
          </m:e>
          <m:sub>
            <m:r>
              <m:rPr>
                <m:sty m:val="p"/>
              </m:rPr>
              <m:t>l</m:t>
            </m:r>
            <m:r>
              <m:rPr>
                <m:sty m:val="p"/>
              </m:rPr>
              <m:t>o</m:t>
            </m:r>
            <m:r>
              <m:rPr>
                <m:sty m:val="p"/>
              </m:rPr>
              <m:t>c</m:t>
            </m:r>
          </m:sub>
        </m:sSub>
      </m:oMath>
      <w:r>
        <w:t xml:space="preserve"> </w:t>
      </w:r>
      <w:r>
        <w:t xml:space="preserve">is closer to a redshift-distance observable than to a directly measured mechanical velocity. Nevertheless, it remains a mixed proxy. Schematically,</w:t>
      </w:r>
    </w:p>
    <w:p>
      <w:pPr>
        <w:pStyle w:val="BodyText"/>
        <w:keepLines/>
        <w:spacing w:before="100" w:after="140"/>
        <w:jc w:val="center"/>
      </w:pPr>
      <m:oMathPara>
        <m:oMathParaPr>
          <m:jc m:val="center"/>
        </m:oMathParaPr>
        <m:oMath>
          <m:sSub>
            <m:e>
              <m:r>
                <m:t>H</m:t>
              </m:r>
            </m:e>
            <m:sub>
              <m:r>
                <m:rPr>
                  <m:sty m:val="p"/>
                </m:rPr>
                <m:t>l</m:t>
              </m:r>
              <m:r>
                <m:rPr>
                  <m:sty m:val="p"/>
                </m:rPr>
                <m:t>o</m:t>
              </m:r>
              <m:r>
                <m:rPr>
                  <m:sty m:val="p"/>
                </m:rPr>
                <m:t>c</m:t>
              </m:r>
              <m:r>
                <m:rPr>
                  <m:sty m:val="p"/>
                </m:rPr>
                <m:t>,</m:t>
              </m:r>
              <m:r>
                <m:t>i</m:t>
              </m:r>
            </m:sub>
          </m:sSub>
          <m:r>
            <m:rPr>
              <m:sty m:val="p"/>
            </m:rPr>
            <m:t>≃</m:t>
          </m:r>
          <m:sSub>
            <m:e>
              <m:r>
                <m:t>H</m:t>
              </m:r>
            </m:e>
            <m:sub>
              <m:r>
                <m:rPr>
                  <m:sty m:val="p"/>
                </m:rPr>
                <m:t>b</m:t>
              </m:r>
              <m:r>
                <m:rPr>
                  <m:sty m:val="p"/>
                </m:rPr>
                <m:t>g</m:t>
              </m:r>
            </m:sub>
          </m:sSub>
          <m:r>
            <m:rPr>
              <m:sty m:val="p"/>
            </m:rPr>
            <m:t>+</m:t>
          </m:r>
          <m:f>
            <m:fPr>
              <m:type m:val="bar"/>
            </m:fPr>
            <m:num>
              <m:sSub>
                <m:e>
                  <m:r>
                    <m:t>v</m:t>
                  </m:r>
                </m:e>
                <m:sub>
                  <m:r>
                    <m:rPr>
                      <m:sty m:val="p"/>
                    </m:rPr>
                    <m:t>p</m:t>
                  </m:r>
                  <m:r>
                    <m:rPr>
                      <m:sty m:val="p"/>
                    </m:rPr>
                    <m:t>e</m:t>
                  </m:r>
                  <m:r>
                    <m:rPr>
                      <m:sty m:val="p"/>
                    </m:rPr>
                    <m:t>c</m:t>
                  </m:r>
                  <m:r>
                    <m:rPr>
                      <m:sty m:val="p"/>
                    </m:rPr>
                    <m:t>,</m:t>
                  </m:r>
                  <m:r>
                    <m:t>i</m:t>
                  </m:r>
                </m:sub>
              </m:sSub>
              <m:r>
                <m:rPr>
                  <m:sty m:val="p"/>
                </m:rPr>
                <m:t>+</m:t>
              </m:r>
              <m:sSub>
                <m:e>
                  <m:r>
                    <m:t>v</m:t>
                  </m:r>
                </m:e>
                <m:sub>
                  <m:r>
                    <m:rPr>
                      <m:sty m:val="p"/>
                    </m:rPr>
                    <m:t>o</m:t>
                  </m:r>
                  <m:r>
                    <m:rPr>
                      <m:sty m:val="p"/>
                    </m:rPr>
                    <m:t>t</m:t>
                  </m:r>
                  <m:r>
                    <m:rPr>
                      <m:sty m:val="p"/>
                    </m:rPr>
                    <m:t>h</m:t>
                  </m:r>
                  <m:r>
                    <m:rPr>
                      <m:sty m:val="p"/>
                    </m:rPr>
                    <m:t>e</m:t>
                  </m:r>
                  <m:r>
                    <m:rPr>
                      <m:sty m:val="p"/>
                    </m:rPr>
                    <m:t>r</m:t>
                  </m:r>
                  <m:r>
                    <m:rPr>
                      <m:sty m:val="p"/>
                    </m:rPr>
                    <m:t>,</m:t>
                  </m:r>
                  <m:r>
                    <m:t>i</m:t>
                  </m:r>
                </m:sub>
              </m:sSub>
            </m:num>
            <m:den>
              <m:sSub>
                <m:e>
                  <m:r>
                    <m:t>D</m:t>
                  </m:r>
                </m:e>
                <m:sub>
                  <m:r>
                    <m:t>i</m:t>
                  </m:r>
                </m:sub>
              </m:sSub>
            </m:den>
          </m:f>
          <m:r>
            <m:rPr>
              <m:sty m:val="p"/>
            </m:rPr>
            <m:t>,</m:t>
          </m:r>
          <m:r>
            <m:rPr>
              <m:sty m:val="p"/>
            </m:rPr>
            <m:t>  (4)</m:t>
          </m:r>
        </m:oMath>
      </m:oMathPara>
    </w:p>
    <w:p>
      <w:pPr>
        <w:pStyle w:val="FirstParagraph"/>
      </w:pPr>
      <w:r>
        <w:t xml:space="preserve">where</w:t>
      </w:r>
      <w:r>
        <w:t xml:space="preserve"> </w:t>
      </w:r>
      <m:oMath>
        <m:sSub>
          <m:e>
            <m:r>
              <m:t>v</m:t>
            </m:r>
          </m:e>
          <m:sub>
            <m:r>
              <m:rPr>
                <m:sty m:val="p"/>
              </m:rPr>
              <m:t>p</m:t>
            </m:r>
            <m:r>
              <m:rPr>
                <m:sty m:val="p"/>
              </m:rPr>
              <m:t>e</m:t>
            </m:r>
            <m:r>
              <m:rPr>
                <m:sty m:val="p"/>
              </m:rPr>
              <m:t>c</m:t>
            </m:r>
            <m:r>
              <m:rPr>
                <m:sty m:val="p"/>
              </m:rPr>
              <m:t>,</m:t>
            </m:r>
            <m:r>
              <m:t>i</m:t>
            </m:r>
          </m:sub>
        </m:sSub>
      </m:oMath>
      <w:r>
        <w:t xml:space="preserve"> </w:t>
      </w:r>
      <w:r>
        <w:t xml:space="preserve">is radial peculiar velocity and</w:t>
      </w:r>
      <w:r>
        <w:t xml:space="preserve"> </w:t>
      </w:r>
      <m:oMath>
        <m:sSub>
          <m:e>
            <m:r>
              <m:t>v</m:t>
            </m:r>
          </m:e>
          <m:sub>
            <m:r>
              <m:rPr>
                <m:sty m:val="p"/>
              </m:rPr>
              <m:t>o</m:t>
            </m:r>
            <m:r>
              <m:rPr>
                <m:sty m:val="p"/>
              </m:rPr>
              <m:t>t</m:t>
            </m:r>
            <m:r>
              <m:rPr>
                <m:sty m:val="p"/>
              </m:rPr>
              <m:t>h</m:t>
            </m:r>
            <m:r>
              <m:rPr>
                <m:sty m:val="p"/>
              </m:rPr>
              <m:t>e</m:t>
            </m:r>
            <m:r>
              <m:rPr>
                <m:sty m:val="p"/>
              </m:rPr>
              <m:t>r</m:t>
            </m:r>
            <m:r>
              <m:rPr>
                <m:sty m:val="p"/>
              </m:rPr>
              <m:t>,</m:t>
            </m:r>
            <m:r>
              <m:t>i</m:t>
            </m:r>
          </m:sub>
        </m:sSub>
      </m:oMath>
      <w:r>
        <w:t xml:space="preserve"> </w:t>
      </w:r>
      <w:r>
        <w:t xml:space="preserve">collects additional redshift, propagation, calibration, and any hypothesized conversion-linked residual contributions. Equation (4) explains why group averaging, sky controls, and future independent flow reconstruction are necessary.</w:t>
      </w:r>
    </w:p>
    <w:bookmarkEnd w:id="25"/>
    <w:bookmarkStart w:id="26" w:name="association-model"/>
    <w:p>
      <w:pPr>
        <w:pStyle w:val="Heading2"/>
      </w:pPr>
      <w:r>
        <w:t xml:space="preserve">3.2 Association model</w:t>
      </w:r>
    </w:p>
    <w:p>
      <w:pPr>
        <w:pStyle w:val="FirstParagraph"/>
      </w:pPr>
      <w:r>
        <w:t xml:space="preserve">The primary regression was</w:t>
      </w:r>
    </w:p>
    <w:p>
      <w:pPr>
        <w:pStyle w:val="BodyText"/>
        <w:keepLines/>
        <w:spacing w:before="100" w:after="140"/>
        <w:jc w:val="center"/>
      </w:pPr>
      <m:oMathPara>
        <m:oMathParaPr>
          <m:jc m:val="center"/>
        </m:oMathParaPr>
        <m:oMath>
          <m:sSub>
            <m:e>
              <m:r>
                <m:rPr>
                  <m:sty m:val="p"/>
                </m:rPr>
                <m:t>log</m:t>
              </m:r>
            </m:e>
            <m:sub>
              <m:r>
                <m:t>10</m:t>
              </m:r>
            </m:sub>
          </m:sSub>
          <m:sSub>
            <m:e>
              <m:r>
                <m:t>H</m:t>
              </m:r>
            </m:e>
            <m:sub>
              <m:r>
                <m:rPr>
                  <m:sty m:val="p"/>
                </m:rPr>
                <m:t>l</m:t>
              </m:r>
              <m:r>
                <m:rPr>
                  <m:sty m:val="p"/>
                </m:rPr>
                <m:t>o</m:t>
              </m:r>
              <m:r>
                <m:rPr>
                  <m:sty m:val="p"/>
                </m:rPr>
                <m:t>c</m:t>
              </m:r>
              <m:r>
                <m:rPr>
                  <m:sty m:val="p"/>
                </m:rPr>
                <m:t>,</m:t>
              </m:r>
              <m:r>
                <m:t>i</m:t>
              </m:r>
            </m:sub>
          </m:sSub>
          <m:r>
            <m:rPr>
              <m:sty m:val="p"/>
            </m:rPr>
            <m:t>=</m:t>
          </m:r>
          <m:r>
            <m:t>α</m:t>
          </m:r>
          <m:r>
            <m:rPr>
              <m:sty m:val="p"/>
            </m:rPr>
            <m:t>+</m:t>
          </m:r>
          <m:r>
            <m:t>β</m:t>
          </m:r>
          <m:sSub>
            <m:e>
              <m:r>
                <m:rPr>
                  <m:sty m:val="p"/>
                </m:rPr>
                <m:t>log</m:t>
              </m:r>
            </m:e>
            <m:sub>
              <m:r>
                <m:t>10</m:t>
              </m:r>
            </m:sub>
          </m:sSub>
          <m:sSub>
            <m:e>
              <m:r>
                <m:t>L</m:t>
              </m:r>
            </m:e>
            <m:sub>
              <m:sSub>
                <m:e>
                  <m:r>
                    <m:t>K</m:t>
                  </m:r>
                </m:e>
                <m:sub>
                  <m:r>
                    <m:t>s</m:t>
                  </m:r>
                </m:sub>
              </m:sSub>
              <m:r>
                <m:rPr>
                  <m:sty m:val="p"/>
                </m:rPr>
                <m:t>,</m:t>
              </m:r>
              <m:r>
                <m:t>i</m:t>
              </m:r>
            </m:sub>
          </m:sSub>
          <m:r>
            <m:rPr>
              <m:sty m:val="p"/>
            </m:rPr>
            <m:t>+</m:t>
          </m:r>
          <m:sSub>
            <m:e>
              <m:r>
                <m:t>f</m:t>
              </m:r>
            </m:e>
            <m:sub>
              <m:r>
                <m:t>3</m:t>
              </m:r>
            </m:sub>
          </m:sSub>
          <m:d>
            <m:dPr>
              <m:begChr m:val="("/>
              <m:endChr m:val=")"/>
              <m:sepChr m:val=""/>
              <m:grow/>
            </m:dPr>
            <m:e>
              <m:sSub>
                <m:e>
                  <m:r>
                    <m:rPr>
                      <m:sty m:val="p"/>
                    </m:rPr>
                    <m:t>log</m:t>
                  </m:r>
                </m:e>
                <m:sub>
                  <m:r>
                    <m:t>10</m:t>
                  </m:r>
                </m:sub>
              </m:sSub>
              <m:sSub>
                <m:e>
                  <m:r>
                    <m:t>v</m:t>
                  </m:r>
                </m:e>
                <m:sub>
                  <m:r>
                    <m:rPr>
                      <m:sty m:val="p"/>
                    </m:rPr>
                    <m:t>C</m:t>
                  </m:r>
                  <m:r>
                    <m:rPr>
                      <m:sty m:val="p"/>
                    </m:rPr>
                    <m:t>M</m:t>
                  </m:r>
                  <m:r>
                    <m:rPr>
                      <m:sty m:val="p"/>
                    </m:rPr>
                    <m:t>B</m:t>
                  </m:r>
                  <m:r>
                    <m:rPr>
                      <m:sty m:val="p"/>
                    </m:rPr>
                    <m:t>,</m:t>
                  </m:r>
                  <m:r>
                    <m:t>i</m:t>
                  </m:r>
                </m:sub>
              </m:sSub>
            </m:e>
          </m:d>
          <m:r>
            <m:rPr>
              <m:sty m:val="p"/>
            </m:rPr>
            <m:t>+</m:t>
          </m:r>
          <m:sSub>
            <m:e>
              <m:r>
                <m:t>Z</m:t>
              </m:r>
            </m:e>
            <m:sub>
              <m:r>
                <m:t>i</m:t>
              </m:r>
            </m:sub>
          </m:sSub>
          <m:r>
            <m:rPr>
              <m:sty m:val="p"/>
            </m:rPr>
            <m:t>+</m:t>
          </m:r>
          <m:sSub>
            <m:e>
              <m:r>
                <m:t>W</m:t>
              </m:r>
            </m:e>
            <m:sub>
              <m:r>
                <m:t>i</m:t>
              </m:r>
            </m:sub>
          </m:sSub>
          <m:r>
            <m:rPr>
              <m:sty m:val="p"/>
            </m:rPr>
            <m:t>,</m:t>
          </m:r>
          <m:r>
            <m:rPr>
              <m:sty m:val="p"/>
            </m:rPr>
            <m:t>  (5)</m:t>
          </m:r>
        </m:oMath>
      </m:oMathPara>
    </w:p>
    <w:p>
      <w:pPr>
        <w:pStyle w:val="FirstParagraph"/>
      </w:pPr>
      <w:r>
        <w:t xml:space="preserve">where</w:t>
      </w:r>
      <w:r>
        <w:t xml:space="preserve"> </w:t>
      </w:r>
      <m:oMath>
        <m:sSub>
          <m:e>
            <m:r>
              <m:t>f</m:t>
            </m:r>
          </m:e>
          <m:sub>
            <m:r>
              <m:t>3</m:t>
            </m:r>
          </m:sub>
        </m:sSub>
      </m:oMath>
      <w:r>
        <w:t xml:space="preserve"> </w:t>
      </w:r>
      <w:r>
        <w:t xml:space="preserve">is a cubic velocity polynomial.</w:t>
      </w:r>
      <w:r>
        <w:t xml:space="preserve"> </w:t>
      </w:r>
      <m:oMath>
        <m:sSub>
          <m:e>
            <m:r>
              <m:t>Z</m:t>
            </m:r>
          </m:e>
          <m:sub>
            <m:r>
              <m:t>i</m:t>
            </m:r>
          </m:sub>
        </m:sSub>
      </m:oMath>
      <w:r>
        <w:t xml:space="preserve"> </w:t>
      </w:r>
      <w:r>
        <w:t xml:space="preserve">includes the luminosity correction factor, group richness, and number of distance measurements;</w:t>
      </w:r>
      <w:r>
        <w:t xml:space="preserve"> </w:t>
      </w:r>
      <m:oMath>
        <m:sSub>
          <m:e>
            <m:r>
              <m:t>W</m:t>
            </m:r>
          </m:e>
          <m:sub>
            <m:r>
              <m:t>i</m:t>
            </m:r>
          </m:sub>
        </m:sSub>
      </m:oMath>
      <w:r>
        <w:t xml:space="preserve"> </w:t>
      </w:r>
      <w:r>
        <w:t xml:space="preserve">contains three dipole sky components. HC3 heteroskedasticity-consistent errors, a nonparametric bootstrap, rank correlations, and a stratified permutation test were used. The coefficient</w:t>
      </w:r>
      <w:r>
        <w:t xml:space="preserve"> </w:t>
      </w:r>
      <m:oMath>
        <m:r>
          <m:t>β</m:t>
        </m:r>
      </m:oMath>
      <w:r>
        <w:t xml:space="preserve"> </w:t>
      </w:r>
      <w:r>
        <w:t xml:space="preserve">is a conditional association, not a conversion-efficiency estimate. Its percentage interpretation is</w:t>
      </w:r>
    </w:p>
    <w:p>
      <w:pPr>
        <w:pStyle w:val="BodyText"/>
        <w:keepLines/>
        <w:spacing w:before="100" w:after="140"/>
        <w:jc w:val="center"/>
      </w:pPr>
      <m:oMathPara>
        <m:oMathParaPr>
          <m:jc m:val="center"/>
        </m:oMathParaPr>
        <m:oMath>
          <m:r>
            <m:t>Δ</m:t>
          </m:r>
          <m:sSub>
            <m:e>
              <m:r>
                <m:t>H</m:t>
              </m:r>
            </m:e>
            <m:sub>
              <m:r>
                <m:rPr>
                  <m:sty m:val="p"/>
                </m:rPr>
                <m:t>l</m:t>
              </m:r>
              <m:r>
                <m:rPr>
                  <m:sty m:val="p"/>
                </m:rPr>
                <m:t>o</m:t>
              </m:r>
              <m:r>
                <m:rPr>
                  <m:sty m:val="p"/>
                </m:rPr>
                <m:t>c</m:t>
              </m:r>
            </m:sub>
          </m:sSub>
          <m:r>
            <m:rPr>
              <m:sty m:val="p"/>
            </m:rPr>
            <m:t>=</m:t>
          </m:r>
          <m:r>
            <m:t>100</m:t>
          </m:r>
          <m:d>
            <m:dPr>
              <m:begChr m:val="("/>
              <m:endChr m:val=")"/>
              <m:sepChr m:val=""/>
              <m:grow/>
            </m:dPr>
            <m:e>
              <m:sSup>
                <m:e>
                  <m:r>
                    <m:t>10</m:t>
                  </m:r>
                </m:e>
                <m:sup>
                  <m:r>
                    <m:t>β</m:t>
                  </m:r>
                </m:sup>
              </m:sSup>
              <m:r>
                <m:rPr>
                  <m:sty m:val="p"/>
                </m:rPr>
                <m:t>−</m:t>
              </m:r>
              <m:r>
                <m:t>1</m:t>
              </m:r>
            </m:e>
          </m:d>
          <m:r>
            <m:rPr>
              <m:sty m:val="p"/>
            </m:rPr>
            <m:t>%</m:t>
          </m:r>
          <m:r>
            <m:rPr>
              <m:sty m:val="p"/>
            </m:rPr>
            <m:t>.</m:t>
          </m:r>
          <m:r>
            <m:rPr>
              <m:sty m:val="p"/>
            </m:rPr>
            <m:t>  (6)</m:t>
          </m:r>
        </m:oMath>
      </m:oMathPara>
    </w:p>
    <w:p>
      <w:pPr>
        <w:pStyle w:val="FirstParagraph"/>
      </w:pPr>
      <w:r>
        <w:t xml:space="preserve">The nuisance controls reduce measured catalog trends but do not reconstruct peculiar velocities or remove unmeasured confounding by mass, environment, morphology, or catalog construction. All tests were two-sided and exploratory.</w:t>
      </w:r>
    </w:p>
    <w:bookmarkEnd w:id="26"/>
    <w:bookmarkStart w:id="27" w:name="visualization"/>
    <w:p>
      <w:pPr>
        <w:pStyle w:val="Heading2"/>
      </w:pPr>
      <w:r>
        <w:t xml:space="preserve">3.3 Visualization</w:t>
      </w:r>
    </w:p>
    <w:p>
      <w:pPr>
        <w:pStyle w:val="FirstParagraph"/>
      </w:pPr>
      <w:r>
        <w:t xml:space="preserve">For Figure 1, primary-sample nuisance-adjusted luminosity residuals were divided into six equal-count bins. Points show back-transformed mean</w:t>
      </w:r>
      <w:r>
        <w:t xml:space="preserve"> </w:t>
      </w:r>
      <m:oMath>
        <m:sSub>
          <m:e>
            <m:r>
              <m:t>H</m:t>
            </m:r>
          </m:e>
          <m:sub>
            <m:r>
              <m:rPr>
                <m:sty m:val="p"/>
              </m:rPr>
              <m:t>l</m:t>
            </m:r>
            <m:r>
              <m:rPr>
                <m:sty m:val="p"/>
              </m:rPr>
              <m:t>o</m:t>
            </m:r>
            <m:r>
              <m:rPr>
                <m:sty m:val="p"/>
              </m:rPr>
              <m:t>c</m:t>
            </m:r>
          </m:sub>
        </m:sSub>
      </m:oMath>
      <w:r>
        <w:t xml:space="preserve"> </w:t>
      </w:r>
      <w:r>
        <w:t xml:space="preserve">residuals with 95% bootstrap intervals. The straight line shows the positive residual-regression trend; it is a visual summary of the prespecified adjusted model, not a separate fit selected for appearance.</w:t>
      </w:r>
    </w:p>
    <w:bookmarkEnd w:id="27"/>
    <w:bookmarkEnd w:id="28"/>
    <w:bookmarkStart w:id="34" w:name="results"/>
    <w:p>
      <w:pPr>
        <w:pStyle w:val="Heading1"/>
      </w:pPr>
      <w:r>
        <w:t xml:space="preserve">4. Results</w:t>
      </w:r>
    </w:p>
    <w:bookmarkStart w:id="32" w:name="primary-grouped-distance-sample"/>
    <w:p>
      <w:pPr>
        <w:pStyle w:val="Heading2"/>
      </w:pPr>
      <w:r>
        <w:t xml:space="preserve">4.1 Primary grouped-distance sample</w:t>
      </w:r>
    </w:p>
    <w:p>
      <w:pPr>
        <w:pStyle w:val="FirstParagraph"/>
      </w:pPr>
      <w:r>
        <w:t xml:space="preserve">The unadjusted association was positive but small (Pearson</w:t>
      </w:r>
      <w:r>
        <w:t xml:space="preserve"> </w:t>
      </w:r>
      <m:oMath>
        <m:r>
          <m:t>r</m:t>
        </m:r>
        <m:r>
          <m:rPr>
            <m:sty m:val="p"/>
          </m:rPr>
          <m:t>=</m:t>
        </m:r>
        <m:r>
          <m:t>0.0844</m:t>
        </m:r>
      </m:oMath>
      <w:r>
        <w:t xml:space="preserve">,</w:t>
      </w:r>
      <w:r>
        <w:t xml:space="preserve"> </w:t>
      </w:r>
      <m:oMath>
        <m:r>
          <m:t>p</m:t>
        </m:r>
        <m:r>
          <m:rPr>
            <m:sty m:val="p"/>
          </m:rPr>
          <m:t>=</m:t>
        </m:r>
        <m:r>
          <m:t>0.0134</m:t>
        </m:r>
      </m:oMath>
      <w:r>
        <w:t xml:space="preserve">; Spearman</w:t>
      </w:r>
      <w:r>
        <w:t xml:space="preserve"> </w:t>
      </w:r>
      <m:oMath>
        <m:r>
          <m:t>ρ</m:t>
        </m:r>
        <m:r>
          <m:rPr>
            <m:sty m:val="p"/>
          </m:rPr>
          <m:t>=</m:t>
        </m:r>
        <m:r>
          <m:t>0.0840</m:t>
        </m:r>
      </m:oMath>
      <w:r>
        <w:t xml:space="preserve">,</w:t>
      </w:r>
      <w:r>
        <w:t xml:space="preserve"> </w:t>
      </w:r>
      <m:oMath>
        <m:r>
          <m:t>p</m:t>
        </m:r>
        <m:r>
          <m:rPr>
            <m:sty m:val="p"/>
          </m:rPr>
          <m:t>=</m:t>
        </m:r>
        <m:r>
          <m:t>0.0138</m:t>
        </m:r>
      </m:oMath>
      <w:r>
        <w:t xml:space="preserve">). After controlling velocity and the selection-correction factor in ranks, partial Spearman correlation increased to</w:t>
      </w:r>
      <w:r>
        <w:t xml:space="preserve"> </w:t>
      </w:r>
      <m:oMath>
        <m:r>
          <m:t>ρ</m:t>
        </m:r>
        <m:r>
          <m:rPr>
            <m:sty m:val="p"/>
          </m:rPr>
          <m:t>=</m:t>
        </m:r>
        <m:r>
          <m:t>0.1196</m:t>
        </m:r>
      </m:oMath>
      <w:r>
        <w:t xml:space="preserve"> </w:t>
      </w:r>
      <w:r>
        <w:t xml:space="preserve">(</w:t>
      </w:r>
      <m:oMath>
        <m:r>
          <m:t>p</m:t>
        </m:r>
        <m:r>
          <m:rPr>
            <m:sty m:val="p"/>
          </m:rPr>
          <m:t>=</m:t>
        </m:r>
        <m:r>
          <m:t>4.46</m:t>
        </m:r>
        <m:r>
          <m:rPr>
            <m:sty m:val="p"/>
          </m:rPr>
          <m:t>×</m:t>
        </m:r>
        <m:sSup>
          <m:e>
            <m:r>
              <m:t>10</m:t>
            </m:r>
          </m:e>
          <m:sup>
            <m:r>
              <m:rPr>
                <m:sty m:val="p"/>
              </m:rPr>
              <m:t>−</m:t>
            </m:r>
            <m:r>
              <m:t>4</m:t>
            </m:r>
          </m:sup>
        </m:sSup>
      </m:oMath>
      <w:r>
        <w:t xml:space="preserve">).</w:t>
      </w:r>
    </w:p>
    <w:p>
      <w:pPr>
        <w:pStyle w:val="BodyText"/>
      </w:pPr>
      <w:r>
        <w:t xml:space="preserve">In the full nuisance-adjusted regression,</w:t>
      </w:r>
    </w:p>
    <w:p>
      <w:pPr>
        <w:pStyle w:val="BodyText"/>
        <w:keepLines/>
        <w:spacing w:before="100" w:after="140"/>
        <w:jc w:val="center"/>
      </w:pPr>
      <m:oMathPara>
        <m:oMathParaPr>
          <m:jc m:val="center"/>
        </m:oMathParaPr>
        <m:oMath>
          <m:r>
            <m:t>β</m:t>
          </m:r>
          <m:r>
            <m:rPr>
              <m:sty m:val="p"/>
            </m:rPr>
            <m:t>=</m:t>
          </m:r>
          <m:r>
            <m:t>0.0384</m:t>
          </m:r>
          <m:r>
            <m:rPr>
              <m:sty m:val="p"/>
            </m:rPr>
            <m:t>±</m:t>
          </m:r>
          <m:r>
            <m:t>0.0161</m:t>
          </m:r>
          <m:r>
            <m:rPr>
              <m:sty m:val="p"/>
            </m:rPr>
            <m:t>,</m:t>
          </m:r>
          <m:r>
            <m:t>  </m:t>
          </m:r>
          <m:r>
            <m:t>95</m:t>
          </m:r>
          <m:r>
            <m:rPr>
              <m:sty m:val="p"/>
            </m:rPr>
            <m:t>%</m:t>
          </m:r>
          <m:r>
            <m:t> </m:t>
          </m:r>
          <m:r>
            <m:rPr>
              <m:sty m:val="p"/>
            </m:rPr>
            <m:t>C</m:t>
          </m:r>
          <m:r>
            <m:rPr>
              <m:sty m:val="p"/>
            </m:rPr>
            <m:t>I</m:t>
          </m:r>
          <m:r>
            <m:rPr>
              <m:sty m:val="p"/>
            </m:rPr>
            <m:t>=</m:t>
          </m:r>
          <m:d>
            <m:dPr>
              <m:begChr m:val="["/>
              <m:endChr m:val="]"/>
              <m:sepChr m:val=""/>
              <m:grow/>
            </m:dPr>
            <m:e>
              <m:r>
                <m:t>0.0068</m:t>
              </m:r>
              <m:r>
                <m:rPr>
                  <m:sty m:val="p"/>
                </m:rPr>
                <m:t>,</m:t>
              </m:r>
              <m:r>
                <m:t>0.0700</m:t>
              </m:r>
            </m:e>
          </m:d>
          <m:r>
            <m:rPr>
              <m:sty m:val="p"/>
            </m:rPr>
            <m:t>,</m:t>
          </m:r>
          <m:r>
            <m:t>  </m:t>
          </m:r>
          <m:r>
            <m:t>p</m:t>
          </m:r>
          <m:r>
            <m:rPr>
              <m:sty m:val="p"/>
            </m:rPr>
            <m:t>=</m:t>
          </m:r>
          <m:r>
            <m:t>0.0176</m:t>
          </m:r>
          <m:r>
            <m:rPr>
              <m:sty m:val="p"/>
            </m:rPr>
            <m:t>.</m:t>
          </m:r>
          <m:r>
            <m:rPr>
              <m:sty m:val="p"/>
            </m:rPr>
            <m:t>  (7)</m:t>
          </m:r>
        </m:oMath>
      </m:oMathPara>
    </w:p>
    <w:p>
      <w:pPr>
        <w:pStyle w:val="FirstParagraph"/>
      </w:pPr>
      <w:r>
        <w:t xml:space="preserve">The bootstrap interval was [0.0079, 0.0688]. The point estimate corresponds to 9.2% higher</w:t>
      </w:r>
      <w:r>
        <w:t xml:space="preserve"> </w:t>
      </w:r>
      <m:oMath>
        <m:sSub>
          <m:e>
            <m:r>
              <m:t>H</m:t>
            </m:r>
          </m:e>
          <m:sub>
            <m:r>
              <m:rPr>
                <m:sty m:val="p"/>
              </m:rPr>
              <m:t>l</m:t>
            </m:r>
            <m:r>
              <m:rPr>
                <m:sty m:val="p"/>
              </m:rPr>
              <m:t>o</m:t>
            </m:r>
            <m:r>
              <m:rPr>
                <m:sty m:val="p"/>
              </m:rPr>
              <m:t>c</m:t>
            </m:r>
          </m:sub>
        </m:sSub>
      </m:oMath>
      <w:r>
        <w:t xml:space="preserve"> </w:t>
      </w:r>
      <w:r>
        <w:t xml:space="preserve">per luminosity decade, conditional on the model. Residual Spearman correlation was</w:t>
      </w:r>
      <w:r>
        <w:t xml:space="preserve"> </w:t>
      </w:r>
      <m:oMath>
        <m:r>
          <m:t>ρ</m:t>
        </m:r>
        <m:r>
          <m:rPr>
            <m:sty m:val="p"/>
          </m:rPr>
          <m:t>=</m:t>
        </m:r>
        <m:r>
          <m:t>0.0850</m:t>
        </m:r>
      </m:oMath>
      <w:r>
        <w:t xml:space="preserve"> </w:t>
      </w:r>
      <w:r>
        <w:t xml:space="preserve">(</w:t>
      </w:r>
      <m:oMath>
        <m:r>
          <m:t>p</m:t>
        </m:r>
        <m:r>
          <m:rPr>
            <m:sty m:val="p"/>
          </m:rPr>
          <m:t>=</m:t>
        </m:r>
        <m:r>
          <m:t>0.0128</m:t>
        </m:r>
      </m:oMath>
      <w:r>
        <w:t xml:space="preserve">), and stratified permutation gave</w:t>
      </w:r>
      <w:r>
        <w:t xml:space="preserve"> </w:t>
      </w:r>
      <m:oMath>
        <m:r>
          <m:t>p</m:t>
        </m:r>
        <m:r>
          <m:rPr>
            <m:sty m:val="p"/>
          </m:rPr>
          <m:t>=</m:t>
        </m:r>
        <m:r>
          <m:t>0.0144</m:t>
        </m:r>
      </m:oMath>
      <w:r>
        <w:t xml:space="preserve">. Thus, different methods agreed on a weak positive sign.</w:t>
      </w:r>
    </w:p>
    <w:p>
      <w:pPr>
        <w:pStyle w:val="CaptionedFigure"/>
        <w:keepNext/>
        <w:keepLines/>
        <w:spacing w:before="160" w:after="40"/>
        <w:jc w:val="center"/>
      </w:pPr>
      <w:r>
        <w:drawing>
          <wp:inline>
            <wp:extent cx="5715000" cy="3242513"/>
            <wp:effectExtent b="0" l="0" r="0" t="0"/>
            <wp:docPr descr="Primary-sample adjusted positive association" title="" id="30" name="Picture"/>
            <a:graphic>
              <a:graphicData uri="http://schemas.openxmlformats.org/drawingml/2006/picture">
                <pic:pic>
                  <pic:nvPicPr>
                    <pic:cNvPr descr="figure1_primary_positive_association.png" id="31" name="Picture"/>
                    <pic:cNvPicPr>
                      <a:picLocks noChangeArrowheads="1" noChangeAspect="1"/>
                    </pic:cNvPicPr>
                  </pic:nvPicPr>
                  <pic:blipFill>
                    <a:blip r:embed="rId29"/>
                    <a:stretch>
                      <a:fillRect/>
                    </a:stretch>
                  </pic:blipFill>
                  <pic:spPr bwMode="auto">
                    <a:xfrm>
                      <a:off x="0" y="0"/>
                      <a:ext cx="5715000" cy="3242513"/>
                    </a:xfrm>
                    <a:prstGeom prst="rect">
                      <a:avLst/>
                    </a:prstGeom>
                    <a:noFill/>
                    <a:ln w="9525">
                      <a:noFill/>
                      <a:headEnd/>
                      <a:tailEnd/>
                    </a:ln>
                  </pic:spPr>
                </pic:pic>
              </a:graphicData>
            </a:graphic>
          </wp:inline>
        </w:drawing>
      </w:r>
    </w:p>
    <w:p>
      <w:pPr>
        <w:pStyle w:val="ImageCaption"/>
      </w:pPr>
      <w:r>
        <w:t xml:space="preserve">Primary-sample adjusted positive association</w:t>
      </w:r>
    </w:p>
    <w:p>
      <w:pPr>
        <w:pStyle w:val="ImageCaption"/>
      </w:pPr>
      <w:r>
        <w:rPr>
          <w:iCs/>
          <w:i/>
        </w:rPr>
        <w:t xml:space="preserve">Figure 1. Simplified primary-sample correlation display. Points are six equal-count bins of nuisance-adjusted luminosity and local-expansion-proxy residuals; error bars are 95% bootstrap intervals. The straight line displays the positive adjusted trend. The figure summarizes association only and does not imply causation or a unique functional law.</w:t>
      </w:r>
    </w:p>
    <w:bookmarkEnd w:id="32"/>
    <w:bookmarkStart w:id="33" w:name="sensitivity-samples"/>
    <w:p>
      <w:pPr>
        <w:pStyle w:val="Heading2"/>
      </w:pPr>
      <w:r>
        <w:t xml:space="preserve">4.2 Sensitivity samples</w:t>
      </w:r>
    </w:p>
    <w:p>
      <w:pPr>
        <w:pStyle w:val="FirstParagraph"/>
      </w:pPr>
      <w:r>
        <w:t xml:space="preserve">The strict-quality sample produced a larger positive adjusted slope,</w:t>
      </w:r>
      <w:r>
        <w:t xml:space="preserve"> </w:t>
      </w:r>
      <m:oMath>
        <m:r>
          <m:t>β</m:t>
        </m:r>
        <m:r>
          <m:rPr>
            <m:sty m:val="p"/>
          </m:rPr>
          <m:t>=</m:t>
        </m:r>
        <m:r>
          <m:t>0.0963</m:t>
        </m:r>
      </m:oMath>
      <w:r>
        <w:t xml:space="preserve"> </w:t>
      </w:r>
      <w:r>
        <w:t xml:space="preserve">(95% CI 0.0302-0.1624;</w:t>
      </w:r>
      <w:r>
        <w:t xml:space="preserve"> </w:t>
      </w:r>
      <m:oMath>
        <m:r>
          <m:t>p</m:t>
        </m:r>
        <m:r>
          <m:rPr>
            <m:sty m:val="p"/>
          </m:rPr>
          <m:t>=</m:t>
        </m:r>
        <m:r>
          <m:t>0.00468</m:t>
        </m:r>
      </m:oMath>
      <w:r>
        <w:t xml:space="preserve">), equivalent to 24.8% per luminosity decade. Its difference from the primary estimate shows that effect magnitude is selection sensitive.</w:t>
      </w:r>
    </w:p>
    <w:p>
      <w:pPr>
        <w:pStyle w:val="BodyText"/>
      </w:pPr>
      <w:r>
        <w:t xml:space="preserve">The SN Ia-only sample was null:</w:t>
      </w:r>
      <w:r>
        <w:t xml:space="preserve"> </w:t>
      </w:r>
      <m:oMath>
        <m:r>
          <m:t>β</m:t>
        </m:r>
        <m:r>
          <m:rPr>
            <m:sty m:val="p"/>
          </m:rPr>
          <m:t>=</m:t>
        </m:r>
        <m:r>
          <m:t>0.0106</m:t>
        </m:r>
      </m:oMath>
      <w:r>
        <w:t xml:space="preserve"> </w:t>
      </w:r>
      <w:r>
        <w:t xml:space="preserve">(95% CI -0.0159 to 0.0370;</w:t>
      </w:r>
      <w:r>
        <w:t xml:space="preserve"> </w:t>
      </w:r>
      <m:oMath>
        <m:r>
          <m:t>p</m:t>
        </m:r>
        <m:r>
          <m:rPr>
            <m:sty m:val="p"/>
          </m:rPr>
          <m:t>=</m:t>
        </m:r>
        <m:r>
          <m:t>0.435</m:t>
        </m:r>
      </m:oMath>
      <w:r>
        <w:t xml:space="preserve">). It therefore does not confirm the primary association, although its interval remains compatible with a small positive effect near the lower part of the primary interval.</w:t>
      </w:r>
    </w:p>
    <w:tbl>
      <w:tblPr>
        <w:tblStyle w:val="Table"/>
        <w:jc w:val="left"/>
        <w:tblLook w:firstRow="1" w:lastRow="0" w:firstColumn="0" w:lastColumn="0" w:noHBand="0" w:noVBand="0" w:val="0020"/>
        <w:tblW w:w="9360" w:type="dxa"/>
        <w:tblInd w:w="120" w:type="dxa"/>
        <w:tblLayout w:type="fixed"/>
      </w:tblPr>
      <w:tblGrid>
        <w:gridCol w:w="2350"/>
        <w:gridCol w:w="850"/>
        <w:gridCol w:w="2700"/>
        <w:gridCol w:w="1300"/>
        <w:gridCol w:w="2160"/>
      </w:tblGrid>
      <w:tr>
        <w:trPr>
          <w:tblHeader w:val="true"/>
          <w:tblHeader w:val="true"/>
        </w:trPr>
        <w:tc>
          <w:tcPr>
            <w:tcW w:type="dxa" w:w="2350"/>
            <w:tcMar>
              <w:top w:w="80" w:type="dxa"/>
              <w:start w:w="120" w:type="dxa"/>
              <w:bottom w:w="80" w:type="dxa"/>
              <w:end w:w="120" w:type="dxa"/>
            </w:tcMar>
            <w:vAlign w:val="center"/>
            <w:shd w:fill="F4F6F9"/>
          </w:tcPr>
          <w:p>
            <w:pPr>
              <w:pStyle w:val="Compact"/>
              <w:spacing w:before="0" w:after="0" w:line="252" w:lineRule="auto"/>
              <w:jc w:val="left"/>
            </w:pPr>
            <w:r>
              <w:rPr>
                <w:rFonts w:ascii="Calibri" w:hAnsi="Calibri"/>
                <w:b/>
                <w:color w:val="1E1E1E"/>
                <w:sz w:val="16"/>
              </w:rPr>
              <w:t xml:space="preserve">Analysis sample</w:t>
            </w:r>
          </w:p>
        </w:tc>
        <w:tc>
          <w:tcPr>
            <w:tcW w:type="dxa" w:w="850"/>
            <w:tcMar>
              <w:top w:w="80" w:type="dxa"/>
              <w:start w:w="120" w:type="dxa"/>
              <w:bottom w:w="80" w:type="dxa"/>
              <w:end w:w="120" w:type="dxa"/>
            </w:tcMar>
            <w:vAlign w:val="center"/>
            <w:shd w:fill="F4F6F9"/>
          </w:tcPr>
          <w:p>
            <w:pPr>
              <w:pStyle w:val="Compact"/>
              <w:spacing w:before="0" w:after="0" w:line="252" w:lineRule="auto"/>
              <w:jc w:val="center"/>
            </w:pPr>
            <m:oMath>
              <m:r>
                <m:t>N</m:t>
              </m:r>
            </m:oMath>
          </w:p>
        </w:tc>
        <w:tc>
          <w:tcPr>
            <w:tcW w:type="dxa" w:w="2700"/>
            <w:tcMar>
              <w:top w:w="80" w:type="dxa"/>
              <w:start w:w="120" w:type="dxa"/>
              <w:bottom w:w="80" w:type="dxa"/>
              <w:end w:w="120" w:type="dxa"/>
            </w:tcMar>
            <w:vAlign w:val="center"/>
            <w:shd w:fill="F4F6F9"/>
          </w:tcPr>
          <w:p>
            <w:pPr>
              <w:pStyle w:val="Compact"/>
              <w:spacing w:before="0" w:after="0" w:line="252" w:lineRule="auto"/>
              <w:jc w:val="left"/>
            </w:pPr>
            <w:r>
              <w:rPr>
                <w:rFonts w:ascii="Calibri" w:hAnsi="Calibri"/>
                <w:b/>
                <w:color w:val="1E1E1E"/>
                <w:sz w:val="16"/>
              </w:rPr>
              <w:t xml:space="preserve">Adjusted</w:t>
            </w:r>
            <w:r>
              <w:rPr>
                <w:rFonts w:ascii="Calibri" w:hAnsi="Calibri"/>
                <w:b/>
                <w:color w:val="1E1E1E"/>
                <w:sz w:val="16"/>
              </w:rPr>
              <w:t xml:space="preserve"> </w:t>
            </w:r>
            <m:oMath>
              <m:r>
                <m:t>β</m:t>
              </m:r>
            </m:oMath>
            <w:r>
              <w:rPr>
                <w:rFonts w:ascii="Calibri" w:hAnsi="Calibri"/>
                <w:b/>
                <w:color w:val="1E1E1E"/>
                <w:sz w:val="16"/>
              </w:rPr>
              <w:t xml:space="preserve"> </w:t>
            </w:r>
            <w:r>
              <w:rPr>
                <w:rFonts w:ascii="Calibri" w:hAnsi="Calibri"/>
                <w:b/>
                <w:color w:val="1E1E1E"/>
                <w:sz w:val="16"/>
              </w:rPr>
              <w:t xml:space="preserve">(95% HC3 CI)</w:t>
            </w:r>
          </w:p>
        </w:tc>
        <w:tc>
          <w:tcPr>
            <w:tcW w:type="dxa" w:w="1300"/>
            <w:tcMar>
              <w:top w:w="80" w:type="dxa"/>
              <w:start w:w="120" w:type="dxa"/>
              <w:bottom w:w="80" w:type="dxa"/>
              <w:end w:w="120" w:type="dxa"/>
            </w:tcMar>
            <w:vAlign w:val="center"/>
            <w:shd w:fill="F4F6F9"/>
          </w:tcPr>
          <w:p>
            <w:pPr>
              <w:pStyle w:val="Compact"/>
              <w:spacing w:before="0" w:after="0" w:line="252" w:lineRule="auto"/>
              <w:jc w:val="center"/>
            </w:pPr>
            <w:r>
              <w:rPr>
                <w:rFonts w:ascii="Calibri" w:hAnsi="Calibri"/>
                <w:b/>
                <w:color w:val="1E1E1E"/>
                <w:sz w:val="16"/>
              </w:rPr>
              <w:t xml:space="preserve">Regression</w:t>
            </w:r>
            <w:r>
              <w:rPr>
                <w:rFonts w:ascii="Calibri" w:hAnsi="Calibri"/>
                <w:b/>
                <w:color w:val="1E1E1E"/>
                <w:sz w:val="16"/>
              </w:rPr>
              <w:t xml:space="preserve"> </w:t>
            </w:r>
            <m:oMath>
              <m:r>
                <m:t>p</m:t>
              </m:r>
            </m:oMath>
          </w:p>
        </w:tc>
        <w:tc>
          <w:tcPr>
            <w:tcW w:type="dxa" w:w="2160"/>
            <w:tcMar>
              <w:top w:w="80" w:type="dxa"/>
              <w:start w:w="120" w:type="dxa"/>
              <w:bottom w:w="80" w:type="dxa"/>
              <w:end w:w="120" w:type="dxa"/>
            </w:tcMar>
            <w:vAlign w:val="center"/>
            <w:shd w:fill="F4F6F9"/>
          </w:tcPr>
          <w:p>
            <w:pPr>
              <w:pStyle w:val="Compact"/>
              <w:spacing w:before="0" w:after="0" w:line="252" w:lineRule="auto"/>
              <w:jc w:val="left"/>
            </w:pPr>
            <w:r>
              <w:rPr>
                <w:rFonts w:ascii="Calibri" w:hAnsi="Calibri"/>
                <w:b/>
                <w:color w:val="1E1E1E"/>
                <w:sz w:val="16"/>
              </w:rPr>
              <w:t xml:space="preserve">Residual/permutation</w:t>
            </w:r>
            <w:r>
              <w:rPr>
                <w:rFonts w:ascii="Calibri" w:hAnsi="Calibri"/>
                <w:b/>
                <w:color w:val="1E1E1E"/>
                <w:sz w:val="16"/>
              </w:rPr>
              <w:t xml:space="preserve"> </w:t>
            </w:r>
            <m:oMath>
              <m:r>
                <m:t>p</m:t>
              </m:r>
            </m:oMath>
          </w:p>
        </w:tc>
      </w:tr>
      <w:tr>
        <w:tc>
          <w:tcPr>
            <w:tcW w:type="dxa" w:w="2350"/>
            <w:tcMar>
              <w:top w:w="80" w:type="dxa"/>
              <w:start w:w="120" w:type="dxa"/>
              <w:bottom w:w="80" w:type="dxa"/>
              <w:end w:w="120" w:type="dxa"/>
            </w:tcMar>
            <w:vAlign w:val="center"/>
          </w:tcPr>
          <w:p>
            <w:pPr>
              <w:pStyle w:val="Compact"/>
              <w:spacing w:before="0" w:after="0" w:line="252" w:lineRule="auto"/>
              <w:jc w:val="left"/>
            </w:pPr>
            <w:r>
              <w:rPr>
                <w:rFonts w:ascii="Calibri" w:hAnsi="Calibri"/>
                <w:b w:val="0"/>
                <w:color w:val="1E1E1E"/>
                <w:sz w:val="16"/>
              </w:rPr>
              <w:t xml:space="preserve">Primary grouped distances</w:t>
            </w:r>
          </w:p>
        </w:tc>
        <w:tc>
          <w:tcPr>
            <w:tcW w:type="dxa" w:w="850"/>
            <w:tcMar>
              <w:top w:w="80" w:type="dxa"/>
              <w:start w:w="120" w:type="dxa"/>
              <w:bottom w:w="80" w:type="dxa"/>
              <w:end w:w="120" w:type="dxa"/>
            </w:tcMar>
            <w:vAlign w:val="center"/>
          </w:tcPr>
          <w:p>
            <w:pPr>
              <w:pStyle w:val="Compact"/>
              <w:spacing w:before="0" w:after="0" w:line="252" w:lineRule="auto"/>
              <w:jc w:val="center"/>
            </w:pPr>
            <w:r>
              <w:rPr>
                <w:rFonts w:ascii="Calibri" w:hAnsi="Calibri"/>
                <w:b w:val="0"/>
                <w:color w:val="1E1E1E"/>
                <w:sz w:val="16"/>
              </w:rPr>
              <w:t xml:space="preserve">858</w:t>
            </w:r>
          </w:p>
        </w:tc>
        <w:tc>
          <w:tcPr>
            <w:tcW w:type="dxa" w:w="2700"/>
            <w:tcMar>
              <w:top w:w="80" w:type="dxa"/>
              <w:start w:w="120" w:type="dxa"/>
              <w:bottom w:w="80" w:type="dxa"/>
              <w:end w:w="120" w:type="dxa"/>
            </w:tcMar>
            <w:vAlign w:val="center"/>
          </w:tcPr>
          <w:p>
            <w:pPr>
              <w:pStyle w:val="Compact"/>
              <w:spacing w:before="0" w:after="0" w:line="252" w:lineRule="auto"/>
              <w:jc w:val="left"/>
            </w:pPr>
            <w:r>
              <w:rPr>
                <w:rFonts w:ascii="Calibri" w:hAnsi="Calibri"/>
                <w:b w:val="0"/>
                <w:color w:val="1E1E1E"/>
                <w:sz w:val="16"/>
              </w:rPr>
              <w:t xml:space="preserve">0.0384 (0.0068 to 0.0700)</w:t>
            </w:r>
          </w:p>
        </w:tc>
        <w:tc>
          <w:tcPr>
            <w:tcW w:type="dxa" w:w="1300"/>
            <w:tcMar>
              <w:top w:w="80" w:type="dxa"/>
              <w:start w:w="120" w:type="dxa"/>
              <w:bottom w:w="80" w:type="dxa"/>
              <w:end w:w="120" w:type="dxa"/>
            </w:tcMar>
            <w:vAlign w:val="center"/>
          </w:tcPr>
          <w:p>
            <w:pPr>
              <w:pStyle w:val="Compact"/>
              <w:spacing w:before="0" w:after="0" w:line="252" w:lineRule="auto"/>
              <w:jc w:val="center"/>
            </w:pPr>
            <w:r>
              <w:rPr>
                <w:rFonts w:ascii="Calibri" w:hAnsi="Calibri"/>
                <w:b w:val="0"/>
                <w:color w:val="1E1E1E"/>
                <w:sz w:val="16"/>
              </w:rPr>
              <w:t xml:space="preserve">0.0176</w:t>
            </w:r>
          </w:p>
        </w:tc>
        <w:tc>
          <w:tcPr>
            <w:tcW w:type="dxa" w:w="2160"/>
            <w:tcMar>
              <w:top w:w="80" w:type="dxa"/>
              <w:start w:w="120" w:type="dxa"/>
              <w:bottom w:w="80" w:type="dxa"/>
              <w:end w:w="120" w:type="dxa"/>
            </w:tcMar>
            <w:vAlign w:val="center"/>
          </w:tcPr>
          <w:p>
            <w:pPr>
              <w:pStyle w:val="Compact"/>
              <w:spacing w:before="0" w:after="0" w:line="252" w:lineRule="auto"/>
              <w:jc w:val="left"/>
            </w:pPr>
            <w:r>
              <w:rPr>
                <w:rFonts w:ascii="Calibri" w:hAnsi="Calibri"/>
                <w:b w:val="0"/>
                <w:color w:val="1E1E1E"/>
                <w:sz w:val="16"/>
              </w:rPr>
              <w:t xml:space="preserve">0.0128 / 0.0144</w:t>
            </w:r>
          </w:p>
        </w:tc>
      </w:tr>
      <w:tr>
        <w:tc>
          <w:tcPr>
            <w:tcW w:type="dxa" w:w="2350"/>
            <w:tcMar>
              <w:top w:w="80" w:type="dxa"/>
              <w:start w:w="120" w:type="dxa"/>
              <w:bottom w:w="80" w:type="dxa"/>
              <w:end w:w="120" w:type="dxa"/>
            </w:tcMar>
            <w:vAlign w:val="center"/>
          </w:tcPr>
          <w:p>
            <w:pPr>
              <w:pStyle w:val="Compact"/>
              <w:spacing w:before="0" w:after="0" w:line="252" w:lineRule="auto"/>
              <w:jc w:val="left"/>
            </w:pPr>
            <w:r>
              <w:rPr>
                <w:rFonts w:ascii="Calibri" w:hAnsi="Calibri"/>
                <w:b w:val="0"/>
                <w:color w:val="1E1E1E"/>
                <w:sz w:val="16"/>
              </w:rPr>
              <w:t xml:space="preserve">Strict quality</w:t>
            </w:r>
          </w:p>
        </w:tc>
        <w:tc>
          <w:tcPr>
            <w:tcW w:type="dxa" w:w="850"/>
            <w:tcMar>
              <w:top w:w="80" w:type="dxa"/>
              <w:start w:w="120" w:type="dxa"/>
              <w:bottom w:w="80" w:type="dxa"/>
              <w:end w:w="120" w:type="dxa"/>
            </w:tcMar>
            <w:vAlign w:val="center"/>
          </w:tcPr>
          <w:p>
            <w:pPr>
              <w:pStyle w:val="Compact"/>
              <w:spacing w:before="0" w:after="0" w:line="252" w:lineRule="auto"/>
              <w:jc w:val="center"/>
            </w:pPr>
            <w:r>
              <w:rPr>
                <w:rFonts w:ascii="Calibri" w:hAnsi="Calibri"/>
                <w:b w:val="0"/>
                <w:color w:val="1E1E1E"/>
                <w:sz w:val="16"/>
              </w:rPr>
              <w:t xml:space="preserve">242</w:t>
            </w:r>
          </w:p>
        </w:tc>
        <w:tc>
          <w:tcPr>
            <w:tcW w:type="dxa" w:w="2700"/>
            <w:tcMar>
              <w:top w:w="80" w:type="dxa"/>
              <w:start w:w="120" w:type="dxa"/>
              <w:bottom w:w="80" w:type="dxa"/>
              <w:end w:w="120" w:type="dxa"/>
            </w:tcMar>
            <w:vAlign w:val="center"/>
          </w:tcPr>
          <w:p>
            <w:pPr>
              <w:pStyle w:val="Compact"/>
              <w:spacing w:before="0" w:after="0" w:line="252" w:lineRule="auto"/>
              <w:jc w:val="left"/>
            </w:pPr>
            <w:r>
              <w:rPr>
                <w:rFonts w:ascii="Calibri" w:hAnsi="Calibri"/>
                <w:b w:val="0"/>
                <w:color w:val="1E1E1E"/>
                <w:sz w:val="16"/>
              </w:rPr>
              <w:t xml:space="preserve">0.0963 (0.0302 to 0.1624)</w:t>
            </w:r>
          </w:p>
        </w:tc>
        <w:tc>
          <w:tcPr>
            <w:tcW w:type="dxa" w:w="1300"/>
            <w:tcMar>
              <w:top w:w="80" w:type="dxa"/>
              <w:start w:w="120" w:type="dxa"/>
              <w:bottom w:w="80" w:type="dxa"/>
              <w:end w:w="120" w:type="dxa"/>
            </w:tcMar>
            <w:vAlign w:val="center"/>
          </w:tcPr>
          <w:p>
            <w:pPr>
              <w:pStyle w:val="Compact"/>
              <w:spacing w:before="0" w:after="0" w:line="252" w:lineRule="auto"/>
              <w:jc w:val="center"/>
            </w:pPr>
            <w:r>
              <w:rPr>
                <w:rFonts w:ascii="Calibri" w:hAnsi="Calibri"/>
                <w:b w:val="0"/>
                <w:color w:val="1E1E1E"/>
                <w:sz w:val="16"/>
              </w:rPr>
              <w:t xml:space="preserve">0.00468</w:t>
            </w:r>
          </w:p>
        </w:tc>
        <w:tc>
          <w:tcPr>
            <w:tcW w:type="dxa" w:w="2160"/>
            <w:tcMar>
              <w:top w:w="80" w:type="dxa"/>
              <w:start w:w="120" w:type="dxa"/>
              <w:bottom w:w="80" w:type="dxa"/>
              <w:end w:w="120" w:type="dxa"/>
            </w:tcMar>
            <w:vAlign w:val="center"/>
          </w:tcPr>
          <w:p>
            <w:pPr>
              <w:pStyle w:val="Compact"/>
              <w:spacing w:before="0" w:after="0" w:line="252" w:lineRule="auto"/>
              <w:jc w:val="left"/>
            </w:pPr>
            <w:r>
              <w:rPr>
                <w:rFonts w:ascii="Calibri" w:hAnsi="Calibri"/>
                <w:b w:val="0"/>
                <w:color w:val="1E1E1E"/>
                <w:sz w:val="16"/>
              </w:rPr>
              <w:t xml:space="preserve">0.00157 / 0.00460</w:t>
            </w:r>
          </w:p>
        </w:tc>
      </w:tr>
      <w:tr>
        <w:tc>
          <w:tcPr>
            <w:tcW w:type="dxa" w:w="2350"/>
            <w:tcMar>
              <w:top w:w="80" w:type="dxa"/>
              <w:start w:w="120" w:type="dxa"/>
              <w:bottom w:w="80" w:type="dxa"/>
              <w:end w:w="120" w:type="dxa"/>
            </w:tcMar>
            <w:vAlign w:val="center"/>
          </w:tcPr>
          <w:p>
            <w:pPr>
              <w:pStyle w:val="Compact"/>
              <w:spacing w:before="0" w:after="0" w:line="252" w:lineRule="auto"/>
              <w:jc w:val="left"/>
            </w:pPr>
            <w:r>
              <w:rPr>
                <w:rFonts w:ascii="Calibri" w:hAnsi="Calibri"/>
                <w:b w:val="0"/>
                <w:color w:val="1E1E1E"/>
                <w:sz w:val="16"/>
              </w:rPr>
              <w:t xml:space="preserve">SN Ia only</w:t>
            </w:r>
          </w:p>
        </w:tc>
        <w:tc>
          <w:tcPr>
            <w:tcW w:type="dxa" w:w="850"/>
            <w:tcMar>
              <w:top w:w="80" w:type="dxa"/>
              <w:start w:w="120" w:type="dxa"/>
              <w:bottom w:w="80" w:type="dxa"/>
              <w:end w:w="120" w:type="dxa"/>
            </w:tcMar>
            <w:vAlign w:val="center"/>
          </w:tcPr>
          <w:p>
            <w:pPr>
              <w:pStyle w:val="Compact"/>
              <w:spacing w:before="0" w:after="0" w:line="252" w:lineRule="auto"/>
              <w:jc w:val="center"/>
            </w:pPr>
            <w:r>
              <w:rPr>
                <w:rFonts w:ascii="Calibri" w:hAnsi="Calibri"/>
                <w:b w:val="0"/>
                <w:color w:val="1E1E1E"/>
                <w:sz w:val="16"/>
              </w:rPr>
              <w:t xml:space="preserve">188</w:t>
            </w:r>
          </w:p>
        </w:tc>
        <w:tc>
          <w:tcPr>
            <w:tcW w:type="dxa" w:w="2700"/>
            <w:tcMar>
              <w:top w:w="80" w:type="dxa"/>
              <w:start w:w="120" w:type="dxa"/>
              <w:bottom w:w="80" w:type="dxa"/>
              <w:end w:w="120" w:type="dxa"/>
            </w:tcMar>
            <w:vAlign w:val="center"/>
          </w:tcPr>
          <w:p>
            <w:pPr>
              <w:pStyle w:val="Compact"/>
              <w:spacing w:before="0" w:after="0" w:line="252" w:lineRule="auto"/>
              <w:jc w:val="left"/>
            </w:pPr>
            <w:r>
              <w:rPr>
                <w:rFonts w:ascii="Calibri" w:hAnsi="Calibri"/>
                <w:b w:val="0"/>
                <w:color w:val="1E1E1E"/>
                <w:sz w:val="16"/>
              </w:rPr>
              <w:t xml:space="preserve">0.0106 (-0.0159 to 0.0370)</w:t>
            </w:r>
          </w:p>
        </w:tc>
        <w:tc>
          <w:tcPr>
            <w:tcW w:type="dxa" w:w="1300"/>
            <w:tcMar>
              <w:top w:w="80" w:type="dxa"/>
              <w:start w:w="120" w:type="dxa"/>
              <w:bottom w:w="80" w:type="dxa"/>
              <w:end w:w="120" w:type="dxa"/>
            </w:tcMar>
            <w:vAlign w:val="center"/>
          </w:tcPr>
          <w:p>
            <w:pPr>
              <w:pStyle w:val="Compact"/>
              <w:spacing w:before="0" w:after="0" w:line="252" w:lineRule="auto"/>
              <w:jc w:val="center"/>
            </w:pPr>
            <w:r>
              <w:rPr>
                <w:rFonts w:ascii="Calibri" w:hAnsi="Calibri"/>
                <w:b w:val="0"/>
                <w:color w:val="1E1E1E"/>
                <w:sz w:val="16"/>
              </w:rPr>
              <w:t xml:space="preserve">0.435</w:t>
            </w:r>
          </w:p>
        </w:tc>
        <w:tc>
          <w:tcPr>
            <w:tcW w:type="dxa" w:w="2160"/>
            <w:tcMar>
              <w:top w:w="80" w:type="dxa"/>
              <w:start w:w="120" w:type="dxa"/>
              <w:bottom w:w="80" w:type="dxa"/>
              <w:end w:w="120" w:type="dxa"/>
            </w:tcMar>
            <w:vAlign w:val="center"/>
          </w:tcPr>
          <w:p>
            <w:pPr>
              <w:pStyle w:val="Compact"/>
              <w:spacing w:before="0" w:after="0" w:line="252" w:lineRule="auto"/>
              <w:jc w:val="left"/>
            </w:pPr>
            <w:r>
              <w:rPr>
                <w:rFonts w:ascii="Calibri" w:hAnsi="Calibri"/>
                <w:b w:val="0"/>
                <w:color w:val="1E1E1E"/>
                <w:sz w:val="16"/>
              </w:rPr>
              <w:t xml:space="preserve">0.421 / 0.403</w:t>
            </w:r>
          </w:p>
        </w:tc>
      </w:tr>
    </w:tbl>
    <w:p>
      <w:pPr>
        <w:pStyle w:val="Caption"/>
      </w:pPr>
      <w:r>
        <w:rPr>
          <w:iCs/>
          <w:i/>
        </w:rPr>
        <w:t xml:space="preserve">Table 1. Association estimates.</w:t>
      </w:r>
      <w:r>
        <w:rPr>
          <w:iCs/>
          <w:i/>
        </w:rPr>
        <w:t xml:space="preserve"> </w:t>
      </w:r>
      <m:oMath>
        <m:r>
          <m:t>β</m:t>
        </m:r>
      </m:oMath>
      <w:r>
        <w:rPr>
          <w:iCs/>
          <w:i/>
        </w:rPr>
        <w:t xml:space="preserve"> </w:t>
      </w:r>
      <w:r>
        <w:rPr>
          <w:iCs/>
          <w:i/>
        </w:rPr>
        <w:t xml:space="preserve">is measured in dex of</w:t>
      </w:r>
      <w:r>
        <w:rPr>
          <w:iCs/>
          <w:i/>
        </w:rPr>
        <w:t xml:space="preserve"> </w:t>
      </w:r>
      <m:oMath>
        <m:sSub>
          <m:e>
            <m:r>
              <m:t>H</m:t>
            </m:r>
          </m:e>
          <m:sub>
            <m:r>
              <m:rPr>
                <m:sty m:val="p"/>
              </m:rPr>
              <m:t>l</m:t>
            </m:r>
            <m:r>
              <m:rPr>
                <m:sty m:val="p"/>
              </m:rPr>
              <m:t>o</m:t>
            </m:r>
            <m:r>
              <m:rPr>
                <m:sty m:val="p"/>
              </m:rPr>
              <m:t>c</m:t>
            </m:r>
          </m:sub>
        </m:sSub>
      </m:oMath>
      <w:r>
        <w:rPr>
          <w:iCs/>
          <w:i/>
        </w:rPr>
        <w:t xml:space="preserve"> </w:t>
      </w:r>
      <w:r>
        <w:rPr>
          <w:iCs/>
          <w:i/>
        </w:rPr>
        <w:t xml:space="preserve">per dex of cataloged</w:t>
      </w:r>
      <w:r>
        <w:rPr>
          <w:iCs/>
          <w:i/>
        </w:rPr>
        <w:t xml:space="preserve"> </w:t>
      </w:r>
      <m:oMath>
        <m:sSub>
          <m:e>
            <m:r>
              <m:t>K</m:t>
            </m:r>
          </m:e>
          <m:sub>
            <m:r>
              <m:t>s</m:t>
            </m:r>
          </m:sub>
        </m:sSub>
      </m:oMath>
      <w:r>
        <w:rPr>
          <w:iCs/>
          <w:i/>
        </w:rPr>
        <w:t xml:space="preserve"> </w:t>
      </w:r>
      <w:r>
        <w:rPr>
          <w:iCs/>
          <w:i/>
        </w:rPr>
        <w:t xml:space="preserve">luminosity. All regressions include the nuisance controls in Equation (5).</w:t>
      </w:r>
    </w:p>
    <w:bookmarkEnd w:id="33"/>
    <w:bookmarkEnd w:id="34"/>
    <w:bookmarkStart w:id="38" w:name="discussion"/>
    <w:p>
      <w:pPr>
        <w:pStyle w:val="Heading1"/>
      </w:pPr>
      <w:r>
        <w:t xml:space="preserve">5. Discussion</w:t>
      </w:r>
    </w:p>
    <w:bookmarkStart w:id="35" w:name="what-the-positive-result-supports"/>
    <w:p>
      <w:pPr>
        <w:pStyle w:val="Heading2"/>
      </w:pPr>
      <w:r>
        <w:t xml:space="preserve">5.1 What the positive result supports</w:t>
      </w:r>
    </w:p>
    <w:p>
      <w:pPr>
        <w:pStyle w:val="FirstParagraph"/>
      </w:pPr>
      <w:r>
        <w:t xml:space="preserve">The primary CF3 analysis detects a weak positive association between cataloged near-infrared luminosity and a redshift-distance local-expansion proxy after adjustment for major catalog trends. This satisfies the motivating hypothesis’s minimal sign-level prediction and provides a reasonable empirical basis for continued testing.</w:t>
      </w:r>
    </w:p>
    <w:p>
      <w:pPr>
        <w:pStyle w:val="BodyText"/>
      </w:pPr>
      <w:r>
        <w:t xml:space="preserve">The result does not specify a linear physical law. The observed</w:t>
      </w:r>
      <w:r>
        <w:t xml:space="preserve"> </w:t>
      </w:r>
      <m:oMath>
        <m:r>
          <m:t>β</m:t>
        </m:r>
      </m:oMath>
      <w:r>
        <w:t xml:space="preserve"> </w:t>
      </w:r>
      <w:r>
        <w:t xml:space="preserve">is the local elasticity of a noisy catalog proxy, not the causal fraction of expansion attributed to radiation-matter conversion. Event-level momentum-volume scaling may accumulate through many sources, directions, spatial cells, and times; the resulting macroscopic response may therefore require summation, integration, or a nonlinear response function that remains to be derived [5,14].</w:t>
      </w:r>
    </w:p>
    <w:bookmarkEnd w:id="35"/>
    <w:bookmarkStart w:id="36" w:name="X8fedceba5b34073e030fd283643cb52d7cb7c74"/>
    <w:p>
      <w:pPr>
        <w:pStyle w:val="Heading2"/>
      </w:pPr>
      <w:r>
        <w:t xml:space="preserve">5.2 Why the result is not proof of local space expansion</w:t>
      </w:r>
    </w:p>
    <w:p>
      <w:pPr>
        <w:pStyle w:val="FirstParagraph"/>
      </w:pPr>
      <w:r>
        <w:t xml:space="preserve">Three boundaries are decisive. First,</w:t>
      </w:r>
      <w:r>
        <w:t xml:space="preserve"> </w:t>
      </w:r>
      <m:oMath>
        <m:sSub>
          <m:e>
            <m:r>
              <m:t>H</m:t>
            </m:r>
          </m:e>
          <m:sub>
            <m:r>
              <m:rPr>
                <m:sty m:val="p"/>
              </m:rPr>
              <m:t>l</m:t>
            </m:r>
            <m:r>
              <m:rPr>
                <m:sty m:val="p"/>
              </m:rPr>
              <m:t>o</m:t>
            </m:r>
            <m:r>
              <m:rPr>
                <m:sty m:val="p"/>
              </m:rPr>
              <m:t>c</m:t>
            </m:r>
          </m:sub>
        </m:sSub>
      </m:oMath>
      <w:r>
        <w:t xml:space="preserve"> </w:t>
      </w:r>
      <w:r>
        <w:t xml:space="preserve">is constructed from redshift and distance but still contains peculiar motion and other propagation or calibration effects; redshift is not itself a pure expansion scalar. Second, cataloged</w:t>
      </w:r>
      <w:r>
        <w:t xml:space="preserve"> </w:t>
      </w:r>
      <m:oMath>
        <m:sSub>
          <m:e>
            <m:r>
              <m:t>K</m:t>
            </m:r>
          </m:e>
          <m:sub>
            <m:r>
              <m:t>s</m:t>
            </m:r>
          </m:sub>
        </m:sSub>
      </m:oMath>
      <w:r>
        <w:t xml:space="preserve"> </w:t>
      </w:r>
      <w:r>
        <w:t xml:space="preserve">luminosity is redshift-scaled, corrected for missed light, and spectrally incomplete relative to a conversion-weighted luminosity. Third, the SN Ia-only sensitivity sample is statistically null. These limitations allow a positive correlation test but prevent a causal or functional interpretation.</w:t>
      </w:r>
    </w:p>
    <w:bookmarkEnd w:id="36"/>
    <w:bookmarkStart w:id="37" w:name="Xfe607d9f2948d5849096dca0fabb39ccf8fd89e"/>
    <w:p>
      <w:pPr>
        <w:pStyle w:val="Heading2"/>
      </w:pPr>
      <w:r>
        <w:t xml:space="preserve">5.3 Relation to the staged theoretical program and a future test</w:t>
      </w:r>
    </w:p>
    <w:p>
      <w:pPr>
        <w:pStyle w:val="FirstParagraph"/>
      </w:pPr>
      <w:r>
        <w:t xml:space="preserve">Paper 1 provides a fixed-</w:t>
      </w:r>
      <m:oMath>
        <m:r>
          <m:t>κ</m:t>
        </m:r>
      </m:oMath>
      <w:r>
        <w:t xml:space="preserve"> </w:t>
      </w:r>
      <w:r>
        <w:t xml:space="preserve">spinor/contained-volume scaling, while Paper 2 provides a simplified conversion-impulse model [5,14]. Under extreme simplifications, microscopic momentum examples, including neutrino-spinor benchmarks, can be compared with macroscopic redshift-luminosity sign tests. CF3 contributes only the sign test; it neither measures</w:t>
      </w:r>
      <w:r>
        <w:t xml:space="preserve"> </w:t>
      </w:r>
      <m:oMath>
        <m:r>
          <m:t>κ</m:t>
        </m:r>
      </m:oMath>
      <w:r>
        <w:t xml:space="preserve"> </w:t>
      </w:r>
      <w:r>
        <w:t xml:space="preserve">nor supplies the accumulated analytic response function.</w:t>
      </w:r>
    </w:p>
    <w:p>
      <w:pPr>
        <w:pStyle w:val="BodyText"/>
      </w:pPr>
      <w:r>
        <w:t xml:space="preserve">A concise future experiment is to compare periodic variable-star luminosity changes with pulsar-timing-array residuals [15]. A reproducible luminosity-locked signal with a distinguishable scalar</w:t>
      </w:r>
      <w:r>
        <w:t xml:space="preserve"> </w:t>
      </w:r>
      <w:r>
        <w:rPr>
          <w:bCs/>
          <w:b/>
        </w:rPr>
        <w:t xml:space="preserve">breathing mode</w:t>
      </w:r>
      <w:r>
        <w:t xml:space="preserve"> </w:t>
      </w:r>
      <w:r>
        <w:t xml:space="preserve">would provide direct phenomenological support for the core space-shift premise [16]. This is a proposed test, not evidence supplied by the present data.</w:t>
      </w:r>
    </w:p>
    <w:bookmarkEnd w:id="37"/>
    <w:bookmarkEnd w:id="38"/>
    <w:bookmarkStart w:id="39" w:name="limitations"/>
    <w:p>
      <w:pPr>
        <w:pStyle w:val="Heading1"/>
      </w:pPr>
      <w:r>
        <w:t xml:space="preserve">6. Limitations</w:t>
      </w:r>
    </w:p>
    <w:p>
      <w:pPr>
        <w:numPr>
          <w:ilvl w:val="0"/>
          <w:numId w:val="1002"/>
        </w:numPr>
        <w:pStyle w:val="Compact"/>
      </w:pPr>
      <w:r>
        <w:t xml:space="preserve">Correlation cannot establish causal expansion by luminosity.</w:t>
      </w:r>
    </w:p>
    <w:p>
      <w:pPr>
        <w:numPr>
          <w:ilvl w:val="0"/>
          <w:numId w:val="1002"/>
        </w:numPr>
        <w:pStyle w:val="Compact"/>
      </w:pPr>
      <m:oMath>
        <m:sSub>
          <m:e>
            <m:r>
              <m:t>H</m:t>
            </m:r>
          </m:e>
          <m:sub>
            <m:r>
              <m:rPr>
                <m:sty m:val="p"/>
              </m:rPr>
              <m:t>l</m:t>
            </m:r>
            <m:r>
              <m:rPr>
                <m:sty m:val="p"/>
              </m:rPr>
              <m:t>o</m:t>
            </m:r>
            <m:r>
              <m:rPr>
                <m:sty m:val="p"/>
              </m:rPr>
              <m:t>c</m:t>
            </m:r>
          </m:sub>
        </m:sSub>
      </m:oMath>
      <w:r>
        <w:t xml:space="preserve"> </w:t>
      </w:r>
      <w:r>
        <w:t xml:space="preserve">is affected by peculiar velocity and is not a direct local metric-expansion measurement.</w:t>
      </w:r>
    </w:p>
    <w:p>
      <w:pPr>
        <w:numPr>
          <w:ilvl w:val="0"/>
          <w:numId w:val="1002"/>
        </w:numPr>
        <w:pStyle w:val="Compact"/>
      </w:pPr>
      <w:r>
        <w:t xml:space="preserve">CF3 combines distance indicators with different selection functions and calibration systematics.</w:t>
      </w:r>
    </w:p>
    <w:p>
      <w:pPr>
        <w:numPr>
          <w:ilvl w:val="0"/>
          <w:numId w:val="1002"/>
        </w:numPr>
        <w:pStyle w:val="Compact"/>
      </w:pPr>
      <w:r>
        <w:t xml:space="preserve">Cataloged</w:t>
      </w:r>
      <w:r>
        <w:t xml:space="preserve"> </w:t>
      </w:r>
      <m:oMath>
        <m:sSub>
          <m:e>
            <m:r>
              <m:t>K</m:t>
            </m:r>
          </m:e>
          <m:sub>
            <m:r>
              <m:t>s</m:t>
            </m:r>
          </m:sub>
        </m:sSub>
      </m:oMath>
      <w:r>
        <w:t xml:space="preserve"> </w:t>
      </w:r>
      <w:r>
        <w:t xml:space="preserve">luminosity is redshift-scaled and is not the model’s bolometric conversion-weighted radiation budget.</w:t>
      </w:r>
    </w:p>
    <w:p>
      <w:pPr>
        <w:numPr>
          <w:ilvl w:val="0"/>
          <w:numId w:val="1002"/>
        </w:numPr>
        <w:pStyle w:val="Compact"/>
      </w:pPr>
      <w:r>
        <w:t xml:space="preserve">The primary and strict samples are nested, so their agreement is not independent replication.</w:t>
      </w:r>
    </w:p>
    <w:p>
      <w:pPr>
        <w:numPr>
          <w:ilvl w:val="0"/>
          <w:numId w:val="1002"/>
        </w:numPr>
        <w:pStyle w:val="Compact"/>
      </w:pPr>
      <w:r>
        <w:t xml:space="preserve">The SN Ia-only sample does not reproduce the main association.</w:t>
      </w:r>
    </w:p>
    <w:p>
      <w:pPr>
        <w:numPr>
          <w:ilvl w:val="0"/>
          <w:numId w:val="1002"/>
        </w:numPr>
        <w:pStyle w:val="Compact"/>
      </w:pPr>
      <w:r>
        <w:t xml:space="preserve">Mass, environment, velocity dispersion, morphology, and catalog construction remain possible confounders.</w:t>
      </w:r>
    </w:p>
    <w:p>
      <w:pPr>
        <w:numPr>
          <w:ilvl w:val="0"/>
          <w:numId w:val="1002"/>
        </w:numPr>
        <w:pStyle w:val="Compact"/>
      </w:pPr>
      <w:r>
        <w:t xml:space="preserve">No precise analytic luminosity-expansion function or numerical</w:t>
      </w:r>
      <w:r>
        <w:t xml:space="preserve"> </w:t>
      </w:r>
      <m:oMath>
        <m:r>
          <m:t>κ</m:t>
        </m:r>
      </m:oMath>
      <w:r>
        <w:t xml:space="preserve"> </w:t>
      </w:r>
      <w:r>
        <w:t xml:space="preserve">prediction is tested here.</w:t>
      </w:r>
    </w:p>
    <w:bookmarkEnd w:id="39"/>
    <w:bookmarkStart w:id="40" w:name="conclusions"/>
    <w:p>
      <w:pPr>
        <w:pStyle w:val="Heading1"/>
      </w:pPr>
      <w:r>
        <w:t xml:space="preserve">7. Conclusions</w:t>
      </w:r>
    </w:p>
    <w:p>
      <w:pPr>
        <w:pStyle w:val="FirstParagraph"/>
      </w:pPr>
      <w:r>
        <w:t xml:space="preserve">Among 858 CF3 galaxy groups, cataloged</w:t>
      </w:r>
      <w:r>
        <w:t xml:space="preserve"> </w:t>
      </w:r>
      <m:oMath>
        <m:sSub>
          <m:e>
            <m:r>
              <m:t>K</m:t>
            </m:r>
          </m:e>
          <m:sub>
            <m:r>
              <m:t>s</m:t>
            </m:r>
          </m:sub>
        </m:sSub>
      </m:oMath>
      <w:r>
        <w:t xml:space="preserve"> </w:t>
      </w:r>
      <w:r>
        <w:t xml:space="preserve">luminosity is weakly but positively associated with the observer-frame proxy</w:t>
      </w:r>
      <w:r>
        <w:t xml:space="preserve"> </w:t>
      </w:r>
      <m:oMath>
        <m:sSub>
          <m:e>
            <m:r>
              <m:t>H</m:t>
            </m:r>
          </m:e>
          <m:sub>
            <m:r>
              <m:rPr>
                <m:sty m:val="p"/>
              </m:rPr>
              <m:t>l</m:t>
            </m:r>
            <m:r>
              <m:rPr>
                <m:sty m:val="p"/>
              </m:rPr>
              <m:t>o</m:t>
            </m:r>
            <m:r>
              <m:rPr>
                <m:sty m:val="p"/>
              </m:rPr>
              <m:t>c</m:t>
            </m:r>
          </m:sub>
        </m:sSub>
        <m:r>
          <m:rPr>
            <m:sty m:val="p"/>
          </m:rPr>
          <m:t>=</m:t>
        </m:r>
        <m:sSub>
          <m:e>
            <m:r>
              <m:t>v</m:t>
            </m:r>
          </m:e>
          <m:sub>
            <m:r>
              <m:rPr>
                <m:sty m:val="p"/>
              </m:rPr>
              <m:t>C</m:t>
            </m:r>
            <m:r>
              <m:rPr>
                <m:sty m:val="p"/>
              </m:rPr>
              <m:t>M</m:t>
            </m:r>
            <m:r>
              <m:rPr>
                <m:sty m:val="p"/>
              </m:rPr>
              <m:t>B</m:t>
            </m:r>
          </m:sub>
        </m:sSub>
        <m:r>
          <m:rPr>
            <m:sty m:val="p"/>
          </m:rPr>
          <m:t>/</m:t>
        </m:r>
        <m:r>
          <m:t>D</m:t>
        </m:r>
      </m:oMath>
      <w:r>
        <w:t xml:space="preserve"> </w:t>
      </w:r>
      <w:r>
        <w:t xml:space="preserve">after major nuisance adjustment. The primary estimate corresponds to approximately 9.2% higher</w:t>
      </w:r>
      <w:r>
        <w:t xml:space="preserve"> </w:t>
      </w:r>
      <m:oMath>
        <m:sSub>
          <m:e>
            <m:r>
              <m:t>H</m:t>
            </m:r>
          </m:e>
          <m:sub>
            <m:r>
              <m:rPr>
                <m:sty m:val="p"/>
              </m:rPr>
              <m:t>l</m:t>
            </m:r>
            <m:r>
              <m:rPr>
                <m:sty m:val="p"/>
              </m:rPr>
              <m:t>o</m:t>
            </m:r>
            <m:r>
              <m:rPr>
                <m:sty m:val="p"/>
              </m:rPr>
              <m:t>c</m:t>
            </m:r>
          </m:sub>
        </m:sSub>
      </m:oMath>
      <w:r>
        <w:t xml:space="preserve"> </w:t>
      </w:r>
      <w:r>
        <w:t xml:space="preserve">per luminosity decade, and the strict-quality sample remains positive; the SN Ia-only sample is null.</w:t>
      </w:r>
    </w:p>
    <w:p>
      <w:pPr>
        <w:pStyle w:val="BodyText"/>
      </w:pPr>
      <w:r>
        <w:t xml:space="preserve">CF3 therefore provides preliminary sign-level consistency evidence that makes continued investigation of the radiation-matter conversion hypothesis reasonable. It does not prove that luminosity expands space, establish a particular mathematical function, or determine</w:t>
      </w:r>
      <w:r>
        <w:t xml:space="preserve"> </w:t>
      </w:r>
      <m:oMath>
        <m:r>
          <m:t>κ</m:t>
        </m:r>
      </m:oMath>
      <w:r>
        <w:t xml:space="preserve">. The appropriate next steps are independent luminosity and distance calibration, peculiar-flow reconstruction, derivation of the accumulated response function, and targeted future tests such as a luminosity-linked PTA breathing-mode search.</w:t>
      </w:r>
    </w:p>
    <w:bookmarkEnd w:id="40"/>
    <w:bookmarkStart w:id="41" w:name="declarations"/>
    <w:p>
      <w:pPr>
        <w:pStyle w:val="Heading1"/>
      </w:pPr>
      <w:r>
        <w:t xml:space="preserve">Declarations</w:t>
      </w:r>
    </w:p>
    <w:p>
      <w:pPr>
        <w:pStyle w:val="FirstParagraph"/>
      </w:pPr>
      <w:r>
        <w:rPr>
          <w:bCs/>
          <w:b/>
        </w:rPr>
        <w:t xml:space="preserve">Author Contributions.</w:t>
      </w:r>
      <w:r>
        <w:t xml:space="preserve"> </w:t>
      </w:r>
      <w:r>
        <w:t xml:space="preserve">Conceptualization, hypothesis development, analysis design, formal analysis, visualization, and writing: Peter Yongtao Wang.</w:t>
      </w:r>
    </w:p>
    <w:p>
      <w:pPr>
        <w:pStyle w:val="BodyText"/>
      </w:pPr>
      <w:r>
        <w:rPr>
          <w:bCs/>
          <w:b/>
        </w:rPr>
        <w:t xml:space="preserve">Funding.</w:t>
      </w:r>
      <w:r>
        <w:t xml:space="preserve"> </w:t>
      </w:r>
      <w:r>
        <w:t xml:space="preserve">This research received no external funding.</w:t>
      </w:r>
    </w:p>
    <w:p>
      <w:pPr>
        <w:pStyle w:val="BodyText"/>
      </w:pPr>
      <w:r>
        <w:rPr>
          <w:bCs/>
          <w:b/>
        </w:rPr>
        <w:t xml:space="preserve">Institutional Review Board Statement.</w:t>
      </w:r>
      <w:r>
        <w:t xml:space="preserve"> </w:t>
      </w:r>
      <w:r>
        <w:t xml:space="preserve">Not applicable.</w:t>
      </w:r>
    </w:p>
    <w:p>
      <w:pPr>
        <w:pStyle w:val="BodyText"/>
      </w:pPr>
      <w:r>
        <w:rPr>
          <w:bCs/>
          <w:b/>
        </w:rPr>
        <w:t xml:space="preserve">Informed Consent Statement.</w:t>
      </w:r>
      <w:r>
        <w:t xml:space="preserve"> </w:t>
      </w:r>
      <w:r>
        <w:t xml:space="preserve">Not applicable.</w:t>
      </w:r>
    </w:p>
    <w:p>
      <w:pPr>
        <w:pStyle w:val="BodyText"/>
      </w:pPr>
      <w:r>
        <w:rPr>
          <w:bCs/>
          <w:b/>
        </w:rPr>
        <w:t xml:space="preserve">Data Availability Statement.</w:t>
      </w:r>
      <w:r>
        <w:t xml:space="preserve"> </w:t>
      </w:r>
      <w:r>
        <w:t xml:space="preserve">Cosmicflows-3 tables 2 and 3 are publicly available through VizieR as catalog J/AJ/152/50 (DOI: 10.26093/cds/vizier.51520050). The reproducibility package, including analysis scripts, input tables, derived samples, machine-readable results, and figures, is available at: https://github.com/peterwa88/space_kapa_calculation/tree/main/CF3_Luminosity_Local_Expansion_Correlation_test</w:t>
      </w:r>
    </w:p>
    <w:p>
      <w:pPr>
        <w:pStyle w:val="BodyText"/>
      </w:pPr>
      <w:r>
        <w:rPr>
          <w:bCs/>
          <w:b/>
        </w:rPr>
        <w:t xml:space="preserve">Acknowledgments.</w:t>
      </w:r>
      <w:r>
        <w:t xml:space="preserve"> </w:t>
      </w:r>
      <w:r>
        <w:t xml:space="preserve">This research made use of the VizieR catalog access tool, CDS, Strasbourg, France. ChatGPT (OpenAI) was used for assistance with mathematical consistency checks and document formatting. All scientific content and conclusions remain the sole responsibility of the author.</w:t>
      </w:r>
    </w:p>
    <w:p>
      <w:pPr>
        <w:pStyle w:val="BodyText"/>
      </w:pPr>
      <w:r>
        <w:rPr>
          <w:bCs/>
          <w:b/>
        </w:rPr>
        <w:t xml:space="preserve">Conflicts of Interest.</w:t>
      </w:r>
      <w:r>
        <w:t xml:space="preserve"> </w:t>
      </w:r>
      <w:r>
        <w:t xml:space="preserve">The author declares no conflict of interest.</w:t>
      </w:r>
    </w:p>
    <w:bookmarkEnd w:id="41"/>
    <w:bookmarkStart w:id="42" w:name="references"/>
    <w:p>
      <w:pPr>
        <w:pStyle w:val="Heading1"/>
      </w:pPr>
      <w:r>
        <w:t xml:space="preserve">References</w:t>
      </w:r>
    </w:p>
    <w:p>
      <w:pPr>
        <w:numPr>
          <w:ilvl w:val="0"/>
          <w:numId w:val="1003"/>
        </w:numPr>
        <w:pStyle w:val="Compact"/>
        <w:spacing w:after="60" w:line="240" w:lineRule="auto"/>
        <w:jc w:val="left"/>
      </w:pPr>
      <w:r>
        <w:rPr>
          <w:rFonts w:ascii="Calibri" w:hAnsi="Calibri"/>
          <w:color w:val="1E1E1E"/>
          <w:sz w:val="19"/>
        </w:rPr>
        <w:t xml:space="preserve">Tully, R.B.; Courtois, H.M.; Sorce, J.G. Cosmicflows-3.</w:t>
      </w:r>
      <w:r>
        <w:rPr>
          <w:rFonts w:ascii="Calibri" w:hAnsi="Calibri"/>
          <w:color w:val="1E1E1E"/>
          <w:sz w:val="19"/>
        </w:rPr>
        <w:t xml:space="preserve"> </w:t>
      </w:r>
      <w:r>
        <w:rPr>
          <w:iCs/>
          <w:rFonts w:ascii="Calibri" w:hAnsi="Calibri"/>
          <w:i/>
          <w:color w:val="1E1E1E"/>
          <w:sz w:val="19"/>
        </w:rPr>
        <w:t xml:space="preserve">Astron. J.</w:t>
      </w:r>
      <w:r>
        <w:rPr>
          <w:rFonts w:ascii="Calibri" w:hAnsi="Calibri"/>
          <w:color w:val="1E1E1E"/>
          <w:sz w:val="19"/>
        </w:rPr>
        <w:t xml:space="preserve"> </w:t>
      </w:r>
      <w:r>
        <w:rPr>
          <w:bCs/>
          <w:rFonts w:ascii="Calibri" w:hAnsi="Calibri"/>
          <w:b/>
          <w:color w:val="1E1E1E"/>
          <w:sz w:val="19"/>
        </w:rPr>
        <w:t xml:space="preserve">2016</w:t>
      </w:r>
      <w:r>
        <w:rPr>
          <w:rFonts w:ascii="Calibri" w:hAnsi="Calibri"/>
          <w:color w:val="1E1E1E"/>
          <w:sz w:val="19"/>
        </w:rPr>
        <w:t xml:space="preserve">,</w:t>
      </w:r>
      <w:r>
        <w:rPr>
          <w:rFonts w:ascii="Calibri" w:hAnsi="Calibri"/>
          <w:color w:val="1E1E1E"/>
          <w:sz w:val="19"/>
        </w:rPr>
        <w:t xml:space="preserve"> </w:t>
      </w:r>
      <w:r>
        <w:rPr>
          <w:iCs/>
          <w:rFonts w:ascii="Calibri" w:hAnsi="Calibri"/>
          <w:i/>
          <w:color w:val="1E1E1E"/>
          <w:sz w:val="19"/>
        </w:rPr>
        <w:t xml:space="preserve">152</w:t>
      </w:r>
      <w:r>
        <w:rPr>
          <w:rFonts w:ascii="Calibri" w:hAnsi="Calibri"/>
          <w:color w:val="1E1E1E"/>
          <w:sz w:val="19"/>
        </w:rPr>
        <w:t xml:space="preserve">, 50. https://doi.org/10.3847/0004-6256/152/2/50.</w:t>
      </w:r>
    </w:p>
    <w:p>
      <w:pPr>
        <w:numPr>
          <w:ilvl w:val="0"/>
          <w:numId w:val="1003"/>
        </w:numPr>
        <w:pStyle w:val="Compact"/>
        <w:spacing w:after="60" w:line="240" w:lineRule="auto"/>
        <w:jc w:val="left"/>
      </w:pPr>
      <w:r>
        <w:rPr>
          <w:rFonts w:ascii="Calibri" w:hAnsi="Calibri"/>
          <w:color w:val="1E1E1E"/>
          <w:sz w:val="19"/>
        </w:rPr>
        <w:t xml:space="preserve">Hoffman, Y.; Valade, A.; Libeskind, N.I.; et al. The large-scale velocity field from the Cosmicflows-4 data.</w:t>
      </w:r>
      <w:r>
        <w:rPr>
          <w:rFonts w:ascii="Calibri" w:hAnsi="Calibri"/>
          <w:color w:val="1E1E1E"/>
          <w:sz w:val="19"/>
        </w:rPr>
        <w:t xml:space="preserve"> </w:t>
      </w:r>
      <w:r>
        <w:rPr>
          <w:iCs/>
          <w:rFonts w:ascii="Calibri" w:hAnsi="Calibri"/>
          <w:i/>
          <w:color w:val="1E1E1E"/>
          <w:sz w:val="19"/>
        </w:rPr>
        <w:t xml:space="preserve">Mon. Not. R. Astron. Soc.</w:t>
      </w:r>
      <w:r>
        <w:rPr>
          <w:rFonts w:ascii="Calibri" w:hAnsi="Calibri"/>
          <w:color w:val="1E1E1E"/>
          <w:sz w:val="19"/>
        </w:rPr>
        <w:t xml:space="preserve"> </w:t>
      </w:r>
      <w:r>
        <w:rPr>
          <w:bCs/>
          <w:rFonts w:ascii="Calibri" w:hAnsi="Calibri"/>
          <w:b/>
          <w:color w:val="1E1E1E"/>
          <w:sz w:val="19"/>
        </w:rPr>
        <w:t xml:space="preserve">2024</w:t>
      </w:r>
      <w:r>
        <w:rPr>
          <w:rFonts w:ascii="Calibri" w:hAnsi="Calibri"/>
          <w:color w:val="1E1E1E"/>
          <w:sz w:val="19"/>
        </w:rPr>
        <w:t xml:space="preserve">,</w:t>
      </w:r>
      <w:r>
        <w:rPr>
          <w:rFonts w:ascii="Calibri" w:hAnsi="Calibri"/>
          <w:color w:val="1E1E1E"/>
          <w:sz w:val="19"/>
        </w:rPr>
        <w:t xml:space="preserve"> </w:t>
      </w:r>
      <w:r>
        <w:rPr>
          <w:iCs/>
          <w:rFonts w:ascii="Calibri" w:hAnsi="Calibri"/>
          <w:i/>
          <w:color w:val="1E1E1E"/>
          <w:sz w:val="19"/>
        </w:rPr>
        <w:t xml:space="preserve">527</w:t>
      </w:r>
      <w:r>
        <w:rPr>
          <w:rFonts w:ascii="Calibri" w:hAnsi="Calibri"/>
          <w:color w:val="1E1E1E"/>
          <w:sz w:val="19"/>
        </w:rPr>
        <w:t xml:space="preserve">, 3788-3805. https://doi.org/10.1093/mnras/stad3433.</w:t>
      </w:r>
    </w:p>
    <w:p>
      <w:pPr>
        <w:numPr>
          <w:ilvl w:val="0"/>
          <w:numId w:val="1003"/>
        </w:numPr>
        <w:pStyle w:val="Compact"/>
        <w:spacing w:after="60" w:line="240" w:lineRule="auto"/>
        <w:jc w:val="left"/>
      </w:pPr>
      <w:r>
        <w:rPr>
          <w:rFonts w:ascii="Calibri" w:hAnsi="Calibri"/>
          <w:color w:val="1E1E1E"/>
          <w:sz w:val="19"/>
        </w:rPr>
        <w:t xml:space="preserve">Tully, R.B.; Courtois, H.M.; Hoffman, Y.; Pomarede, D. The Laniakea supercluster of galaxies.</w:t>
      </w:r>
      <w:r>
        <w:rPr>
          <w:rFonts w:ascii="Calibri" w:hAnsi="Calibri"/>
          <w:color w:val="1E1E1E"/>
          <w:sz w:val="19"/>
        </w:rPr>
        <w:t xml:space="preserve"> </w:t>
      </w:r>
      <w:r>
        <w:rPr>
          <w:iCs/>
          <w:rFonts w:ascii="Calibri" w:hAnsi="Calibri"/>
          <w:i/>
          <w:color w:val="1E1E1E"/>
          <w:sz w:val="19"/>
        </w:rPr>
        <w:t xml:space="preserve">Nature</w:t>
      </w:r>
      <w:r>
        <w:rPr>
          <w:rFonts w:ascii="Calibri" w:hAnsi="Calibri"/>
          <w:color w:val="1E1E1E"/>
          <w:sz w:val="19"/>
        </w:rPr>
        <w:t xml:space="preserve"> </w:t>
      </w:r>
      <w:r>
        <w:rPr>
          <w:bCs/>
          <w:rFonts w:ascii="Calibri" w:hAnsi="Calibri"/>
          <w:b/>
          <w:color w:val="1E1E1E"/>
          <w:sz w:val="19"/>
        </w:rPr>
        <w:t xml:space="preserve">2014</w:t>
      </w:r>
      <w:r>
        <w:rPr>
          <w:rFonts w:ascii="Calibri" w:hAnsi="Calibri"/>
          <w:color w:val="1E1E1E"/>
          <w:sz w:val="19"/>
        </w:rPr>
        <w:t xml:space="preserve">,</w:t>
      </w:r>
      <w:r>
        <w:rPr>
          <w:rFonts w:ascii="Calibri" w:hAnsi="Calibri"/>
          <w:color w:val="1E1E1E"/>
          <w:sz w:val="19"/>
        </w:rPr>
        <w:t xml:space="preserve"> </w:t>
      </w:r>
      <w:r>
        <w:rPr>
          <w:iCs/>
          <w:rFonts w:ascii="Calibri" w:hAnsi="Calibri"/>
          <w:i/>
          <w:color w:val="1E1E1E"/>
          <w:sz w:val="19"/>
        </w:rPr>
        <w:t xml:space="preserve">513</w:t>
      </w:r>
      <w:r>
        <w:rPr>
          <w:rFonts w:ascii="Calibri" w:hAnsi="Calibri"/>
          <w:color w:val="1E1E1E"/>
          <w:sz w:val="19"/>
        </w:rPr>
        <w:t xml:space="preserve">, 71-73. https://doi.org/10.1038/nature13674.</w:t>
      </w:r>
    </w:p>
    <w:p>
      <w:pPr>
        <w:numPr>
          <w:ilvl w:val="0"/>
          <w:numId w:val="1003"/>
        </w:numPr>
        <w:pStyle w:val="Compact"/>
        <w:spacing w:after="60" w:line="240" w:lineRule="auto"/>
        <w:jc w:val="left"/>
      </w:pPr>
      <w:r>
        <w:rPr>
          <w:rFonts w:ascii="Calibri" w:hAnsi="Calibri"/>
          <w:color w:val="1E1E1E"/>
          <w:sz w:val="19"/>
        </w:rPr>
        <w:t xml:space="preserve">Fixsen, D.J. The temperature of the cosmic microwave background.</w:t>
      </w:r>
      <w:r>
        <w:rPr>
          <w:rFonts w:ascii="Calibri" w:hAnsi="Calibri"/>
          <w:color w:val="1E1E1E"/>
          <w:sz w:val="19"/>
        </w:rPr>
        <w:t xml:space="preserve"> </w:t>
      </w:r>
      <w:r>
        <w:rPr>
          <w:iCs/>
          <w:rFonts w:ascii="Calibri" w:hAnsi="Calibri"/>
          <w:i/>
          <w:color w:val="1E1E1E"/>
          <w:sz w:val="19"/>
        </w:rPr>
        <w:t xml:space="preserve">Astrophys. J.</w:t>
      </w:r>
      <w:r>
        <w:rPr>
          <w:rFonts w:ascii="Calibri" w:hAnsi="Calibri"/>
          <w:color w:val="1E1E1E"/>
          <w:sz w:val="19"/>
        </w:rPr>
        <w:t xml:space="preserve"> </w:t>
      </w:r>
      <w:r>
        <w:rPr>
          <w:bCs/>
          <w:rFonts w:ascii="Calibri" w:hAnsi="Calibri"/>
          <w:b/>
          <w:color w:val="1E1E1E"/>
          <w:sz w:val="19"/>
        </w:rPr>
        <w:t xml:space="preserve">2009</w:t>
      </w:r>
      <w:r>
        <w:rPr>
          <w:rFonts w:ascii="Calibri" w:hAnsi="Calibri"/>
          <w:color w:val="1E1E1E"/>
          <w:sz w:val="19"/>
        </w:rPr>
        <w:t xml:space="preserve">,</w:t>
      </w:r>
      <w:r>
        <w:rPr>
          <w:rFonts w:ascii="Calibri" w:hAnsi="Calibri"/>
          <w:color w:val="1E1E1E"/>
          <w:sz w:val="19"/>
        </w:rPr>
        <w:t xml:space="preserve"> </w:t>
      </w:r>
      <w:r>
        <w:rPr>
          <w:iCs/>
          <w:rFonts w:ascii="Calibri" w:hAnsi="Calibri"/>
          <w:i/>
          <w:color w:val="1E1E1E"/>
          <w:sz w:val="19"/>
        </w:rPr>
        <w:t xml:space="preserve">707</w:t>
      </w:r>
      <w:r>
        <w:rPr>
          <w:rFonts w:ascii="Calibri" w:hAnsi="Calibri"/>
          <w:color w:val="1E1E1E"/>
          <w:sz w:val="19"/>
        </w:rPr>
        <w:t xml:space="preserve">, 916-920. https://doi.org/10.1088/0004-637X/707/2/916.</w:t>
      </w:r>
    </w:p>
    <w:p>
      <w:pPr>
        <w:numPr>
          <w:ilvl w:val="0"/>
          <w:numId w:val="1003"/>
        </w:numPr>
        <w:pStyle w:val="Compact"/>
        <w:spacing w:after="60" w:line="240" w:lineRule="auto"/>
        <w:jc w:val="left"/>
      </w:pPr>
      <w:r>
        <w:rPr>
          <w:rFonts w:ascii="Calibri" w:hAnsi="Calibri"/>
          <w:color w:val="1E1E1E"/>
          <w:sz w:val="19"/>
        </w:rPr>
        <w:t xml:space="preserve">Wang, P.Y. Directional Radiation-Matter Conversion and Modular-Weierstrass Closure: A Planck-Time Geometric-Impulse Model with a Near-Horizon Cutoff Branch. Preprint, 2026.</w:t>
      </w:r>
    </w:p>
    <w:p>
      <w:pPr>
        <w:numPr>
          <w:ilvl w:val="0"/>
          <w:numId w:val="1003"/>
        </w:numPr>
        <w:pStyle w:val="Compact"/>
        <w:spacing w:after="60" w:line="240" w:lineRule="auto"/>
        <w:jc w:val="left"/>
      </w:pPr>
      <w:r>
        <w:rPr>
          <w:rFonts w:ascii="Calibri" w:hAnsi="Calibri"/>
          <w:color w:val="1E1E1E"/>
          <w:sz w:val="19"/>
        </w:rPr>
        <w:t xml:space="preserve">Tully, R.B. Galaxy groups: A 2MASS catalog.</w:t>
      </w:r>
      <w:r>
        <w:rPr>
          <w:rFonts w:ascii="Calibri" w:hAnsi="Calibri"/>
          <w:color w:val="1E1E1E"/>
          <w:sz w:val="19"/>
        </w:rPr>
        <w:t xml:space="preserve"> </w:t>
      </w:r>
      <w:r>
        <w:rPr>
          <w:iCs/>
          <w:rFonts w:ascii="Calibri" w:hAnsi="Calibri"/>
          <w:i/>
          <w:color w:val="1E1E1E"/>
          <w:sz w:val="19"/>
        </w:rPr>
        <w:t xml:space="preserve">Astron. J.</w:t>
      </w:r>
      <w:r>
        <w:rPr>
          <w:rFonts w:ascii="Calibri" w:hAnsi="Calibri"/>
          <w:color w:val="1E1E1E"/>
          <w:sz w:val="19"/>
        </w:rPr>
        <w:t xml:space="preserve"> </w:t>
      </w:r>
      <w:r>
        <w:rPr>
          <w:bCs/>
          <w:rFonts w:ascii="Calibri" w:hAnsi="Calibri"/>
          <w:b/>
          <w:color w:val="1E1E1E"/>
          <w:sz w:val="19"/>
        </w:rPr>
        <w:t xml:space="preserve">2015</w:t>
      </w:r>
      <w:r>
        <w:rPr>
          <w:rFonts w:ascii="Calibri" w:hAnsi="Calibri"/>
          <w:color w:val="1E1E1E"/>
          <w:sz w:val="19"/>
        </w:rPr>
        <w:t xml:space="preserve">,</w:t>
      </w:r>
      <w:r>
        <w:rPr>
          <w:rFonts w:ascii="Calibri" w:hAnsi="Calibri"/>
          <w:color w:val="1E1E1E"/>
          <w:sz w:val="19"/>
        </w:rPr>
        <w:t xml:space="preserve"> </w:t>
      </w:r>
      <w:r>
        <w:rPr>
          <w:iCs/>
          <w:rFonts w:ascii="Calibri" w:hAnsi="Calibri"/>
          <w:i/>
          <w:color w:val="1E1E1E"/>
          <w:sz w:val="19"/>
        </w:rPr>
        <w:t xml:space="preserve">149</w:t>
      </w:r>
      <w:r>
        <w:rPr>
          <w:rFonts w:ascii="Calibri" w:hAnsi="Calibri"/>
          <w:color w:val="1E1E1E"/>
          <w:sz w:val="19"/>
        </w:rPr>
        <w:t xml:space="preserve">, 171. https://doi.org/10.1088/0004-6256/149/5/171.</w:t>
      </w:r>
    </w:p>
    <w:p>
      <w:pPr>
        <w:numPr>
          <w:ilvl w:val="0"/>
          <w:numId w:val="1003"/>
        </w:numPr>
        <w:pStyle w:val="Compact"/>
        <w:spacing w:after="60" w:line="240" w:lineRule="auto"/>
        <w:jc w:val="left"/>
      </w:pPr>
      <w:r>
        <w:rPr>
          <w:rFonts w:ascii="Calibri" w:hAnsi="Calibri"/>
          <w:color w:val="1E1E1E"/>
          <w:sz w:val="19"/>
        </w:rPr>
        <w:t xml:space="preserve">Huchra, J.P.; Macri, L.M.; Masters, K.L.; et al. The 2MASS Redshift Survey-Description and data release.</w:t>
      </w:r>
      <w:r>
        <w:rPr>
          <w:rFonts w:ascii="Calibri" w:hAnsi="Calibri"/>
          <w:color w:val="1E1E1E"/>
          <w:sz w:val="19"/>
        </w:rPr>
        <w:t xml:space="preserve"> </w:t>
      </w:r>
      <w:r>
        <w:rPr>
          <w:iCs/>
          <w:rFonts w:ascii="Calibri" w:hAnsi="Calibri"/>
          <w:i/>
          <w:color w:val="1E1E1E"/>
          <w:sz w:val="19"/>
        </w:rPr>
        <w:t xml:space="preserve">Astrophys. J. Suppl. Ser.</w:t>
      </w:r>
      <w:r>
        <w:rPr>
          <w:rFonts w:ascii="Calibri" w:hAnsi="Calibri"/>
          <w:color w:val="1E1E1E"/>
          <w:sz w:val="19"/>
        </w:rPr>
        <w:t xml:space="preserve"> </w:t>
      </w:r>
      <w:r>
        <w:rPr>
          <w:bCs/>
          <w:rFonts w:ascii="Calibri" w:hAnsi="Calibri"/>
          <w:b/>
          <w:color w:val="1E1E1E"/>
          <w:sz w:val="19"/>
        </w:rPr>
        <w:t xml:space="preserve">2012</w:t>
      </w:r>
      <w:r>
        <w:rPr>
          <w:rFonts w:ascii="Calibri" w:hAnsi="Calibri"/>
          <w:color w:val="1E1E1E"/>
          <w:sz w:val="19"/>
        </w:rPr>
        <w:t xml:space="preserve">,</w:t>
      </w:r>
      <w:r>
        <w:rPr>
          <w:rFonts w:ascii="Calibri" w:hAnsi="Calibri"/>
          <w:color w:val="1E1E1E"/>
          <w:sz w:val="19"/>
        </w:rPr>
        <w:t xml:space="preserve"> </w:t>
      </w:r>
      <w:r>
        <w:rPr>
          <w:iCs/>
          <w:rFonts w:ascii="Calibri" w:hAnsi="Calibri"/>
          <w:i/>
          <w:color w:val="1E1E1E"/>
          <w:sz w:val="19"/>
        </w:rPr>
        <w:t xml:space="preserve">199</w:t>
      </w:r>
      <w:r>
        <w:rPr>
          <w:rFonts w:ascii="Calibri" w:hAnsi="Calibri"/>
          <w:color w:val="1E1E1E"/>
          <w:sz w:val="19"/>
        </w:rPr>
        <w:t xml:space="preserve">, 26. https://doi.org/10.1088/0067-0049/199/2/26.</w:t>
      </w:r>
    </w:p>
    <w:p>
      <w:pPr>
        <w:numPr>
          <w:ilvl w:val="0"/>
          <w:numId w:val="1003"/>
        </w:numPr>
        <w:pStyle w:val="Compact"/>
        <w:spacing w:after="60" w:line="240" w:lineRule="auto"/>
        <w:jc w:val="left"/>
      </w:pPr>
      <w:r>
        <w:rPr>
          <w:rFonts w:ascii="Calibri" w:hAnsi="Calibri"/>
          <w:color w:val="1E1E1E"/>
          <w:sz w:val="19"/>
        </w:rPr>
        <w:t xml:space="preserve">Ochsenbein, F.; Bauer, P.; Marcout, J. The VizieR database of astronomical catalogues.</w:t>
      </w:r>
      <w:r>
        <w:rPr>
          <w:rFonts w:ascii="Calibri" w:hAnsi="Calibri"/>
          <w:color w:val="1E1E1E"/>
          <w:sz w:val="19"/>
        </w:rPr>
        <w:t xml:space="preserve"> </w:t>
      </w:r>
      <w:r>
        <w:rPr>
          <w:iCs/>
          <w:rFonts w:ascii="Calibri" w:hAnsi="Calibri"/>
          <w:i/>
          <w:color w:val="1E1E1E"/>
          <w:sz w:val="19"/>
        </w:rPr>
        <w:t xml:space="preserve">Astron. Astrophys. Suppl. Ser.</w:t>
      </w:r>
      <w:r>
        <w:rPr>
          <w:rFonts w:ascii="Calibri" w:hAnsi="Calibri"/>
          <w:color w:val="1E1E1E"/>
          <w:sz w:val="19"/>
        </w:rPr>
        <w:t xml:space="preserve"> </w:t>
      </w:r>
      <w:r>
        <w:rPr>
          <w:bCs/>
          <w:rFonts w:ascii="Calibri" w:hAnsi="Calibri"/>
          <w:b/>
          <w:color w:val="1E1E1E"/>
          <w:sz w:val="19"/>
        </w:rPr>
        <w:t xml:space="preserve">2000</w:t>
      </w:r>
      <w:r>
        <w:rPr>
          <w:rFonts w:ascii="Calibri" w:hAnsi="Calibri"/>
          <w:color w:val="1E1E1E"/>
          <w:sz w:val="19"/>
        </w:rPr>
        <w:t xml:space="preserve">,</w:t>
      </w:r>
      <w:r>
        <w:rPr>
          <w:rFonts w:ascii="Calibri" w:hAnsi="Calibri"/>
          <w:color w:val="1E1E1E"/>
          <w:sz w:val="19"/>
        </w:rPr>
        <w:t xml:space="preserve"> </w:t>
      </w:r>
      <w:r>
        <w:rPr>
          <w:iCs/>
          <w:rFonts w:ascii="Calibri" w:hAnsi="Calibri"/>
          <w:i/>
          <w:color w:val="1E1E1E"/>
          <w:sz w:val="19"/>
        </w:rPr>
        <w:t xml:space="preserve">143</w:t>
      </w:r>
      <w:r>
        <w:rPr>
          <w:rFonts w:ascii="Calibri" w:hAnsi="Calibri"/>
          <w:color w:val="1E1E1E"/>
          <w:sz w:val="19"/>
        </w:rPr>
        <w:t xml:space="preserve">, 23-32. https://doi.org/10.1051/aas:2000169.</w:t>
      </w:r>
    </w:p>
    <w:p>
      <w:pPr>
        <w:numPr>
          <w:ilvl w:val="0"/>
          <w:numId w:val="1003"/>
        </w:numPr>
        <w:pStyle w:val="Compact"/>
        <w:spacing w:after="60" w:line="240" w:lineRule="auto"/>
        <w:jc w:val="left"/>
      </w:pPr>
      <w:r>
        <w:rPr>
          <w:rFonts w:ascii="Calibri" w:hAnsi="Calibri"/>
          <w:color w:val="1E1E1E"/>
          <w:sz w:val="19"/>
        </w:rPr>
        <w:t xml:space="preserve">Kelly, P.L.; Hicken, M.; Burke, D.L.; Mandel, K.S.; Kirshner, R.P. Hubble residuals of nearby Type Ia supernovae are correlated with host galaxy masses.</w:t>
      </w:r>
      <w:r>
        <w:rPr>
          <w:rFonts w:ascii="Calibri" w:hAnsi="Calibri"/>
          <w:color w:val="1E1E1E"/>
          <w:sz w:val="19"/>
        </w:rPr>
        <w:t xml:space="preserve"> </w:t>
      </w:r>
      <w:r>
        <w:rPr>
          <w:iCs/>
          <w:rFonts w:ascii="Calibri" w:hAnsi="Calibri"/>
          <w:i/>
          <w:color w:val="1E1E1E"/>
          <w:sz w:val="19"/>
        </w:rPr>
        <w:t xml:space="preserve">Astrophys. J.</w:t>
      </w:r>
      <w:r>
        <w:rPr>
          <w:rFonts w:ascii="Calibri" w:hAnsi="Calibri"/>
          <w:color w:val="1E1E1E"/>
          <w:sz w:val="19"/>
        </w:rPr>
        <w:t xml:space="preserve"> </w:t>
      </w:r>
      <w:r>
        <w:rPr>
          <w:bCs/>
          <w:rFonts w:ascii="Calibri" w:hAnsi="Calibri"/>
          <w:b/>
          <w:color w:val="1E1E1E"/>
          <w:sz w:val="19"/>
        </w:rPr>
        <w:t xml:space="preserve">2010</w:t>
      </w:r>
      <w:r>
        <w:rPr>
          <w:rFonts w:ascii="Calibri" w:hAnsi="Calibri"/>
          <w:color w:val="1E1E1E"/>
          <w:sz w:val="19"/>
        </w:rPr>
        <w:t xml:space="preserve">,</w:t>
      </w:r>
      <w:r>
        <w:rPr>
          <w:rFonts w:ascii="Calibri" w:hAnsi="Calibri"/>
          <w:color w:val="1E1E1E"/>
          <w:sz w:val="19"/>
        </w:rPr>
        <w:t xml:space="preserve"> </w:t>
      </w:r>
      <w:r>
        <w:rPr>
          <w:iCs/>
          <w:rFonts w:ascii="Calibri" w:hAnsi="Calibri"/>
          <w:i/>
          <w:color w:val="1E1E1E"/>
          <w:sz w:val="19"/>
        </w:rPr>
        <w:t xml:space="preserve">715</w:t>
      </w:r>
      <w:r>
        <w:rPr>
          <w:rFonts w:ascii="Calibri" w:hAnsi="Calibri"/>
          <w:color w:val="1E1E1E"/>
          <w:sz w:val="19"/>
        </w:rPr>
        <w:t xml:space="preserve">, 743-756. https://doi.org/10.1088/0004-637X/715/2/743.</w:t>
      </w:r>
    </w:p>
    <w:p>
      <w:pPr>
        <w:numPr>
          <w:ilvl w:val="0"/>
          <w:numId w:val="1003"/>
        </w:numPr>
        <w:pStyle w:val="Compact"/>
        <w:spacing w:after="60" w:line="240" w:lineRule="auto"/>
        <w:jc w:val="left"/>
      </w:pPr>
      <w:r>
        <w:rPr>
          <w:rFonts w:ascii="Calibri" w:hAnsi="Calibri"/>
          <w:color w:val="1E1E1E"/>
          <w:sz w:val="19"/>
        </w:rPr>
        <w:t xml:space="preserve">Sullivan, M.; Conley, A.; Howell, D.A.; et al. The dependence of Type Ia supernovae luminosities on their host galaxies.</w:t>
      </w:r>
      <w:r>
        <w:rPr>
          <w:rFonts w:ascii="Calibri" w:hAnsi="Calibri"/>
          <w:color w:val="1E1E1E"/>
          <w:sz w:val="19"/>
        </w:rPr>
        <w:t xml:space="preserve"> </w:t>
      </w:r>
      <w:r>
        <w:rPr>
          <w:iCs/>
          <w:rFonts w:ascii="Calibri" w:hAnsi="Calibri"/>
          <w:i/>
          <w:color w:val="1E1E1E"/>
          <w:sz w:val="19"/>
        </w:rPr>
        <w:t xml:space="preserve">Mon. Not. R. Astron. Soc.</w:t>
      </w:r>
      <w:r>
        <w:rPr>
          <w:rFonts w:ascii="Calibri" w:hAnsi="Calibri"/>
          <w:color w:val="1E1E1E"/>
          <w:sz w:val="19"/>
        </w:rPr>
        <w:t xml:space="preserve"> </w:t>
      </w:r>
      <w:r>
        <w:rPr>
          <w:bCs/>
          <w:rFonts w:ascii="Calibri" w:hAnsi="Calibri"/>
          <w:b/>
          <w:color w:val="1E1E1E"/>
          <w:sz w:val="19"/>
        </w:rPr>
        <w:t xml:space="preserve">2010</w:t>
      </w:r>
      <w:r>
        <w:rPr>
          <w:rFonts w:ascii="Calibri" w:hAnsi="Calibri"/>
          <w:color w:val="1E1E1E"/>
          <w:sz w:val="19"/>
        </w:rPr>
        <w:t xml:space="preserve">,</w:t>
      </w:r>
      <w:r>
        <w:rPr>
          <w:rFonts w:ascii="Calibri" w:hAnsi="Calibri"/>
          <w:color w:val="1E1E1E"/>
          <w:sz w:val="19"/>
        </w:rPr>
        <w:t xml:space="preserve"> </w:t>
      </w:r>
      <w:r>
        <w:rPr>
          <w:iCs/>
          <w:rFonts w:ascii="Calibri" w:hAnsi="Calibri"/>
          <w:i/>
          <w:color w:val="1E1E1E"/>
          <w:sz w:val="19"/>
        </w:rPr>
        <w:t xml:space="preserve">406</w:t>
      </w:r>
      <w:r>
        <w:rPr>
          <w:rFonts w:ascii="Calibri" w:hAnsi="Calibri"/>
          <w:color w:val="1E1E1E"/>
          <w:sz w:val="19"/>
        </w:rPr>
        <w:t xml:space="preserve">, 782-802. https://doi.org/10.1111/j.1365-2966.2010.16731.x.</w:t>
      </w:r>
    </w:p>
    <w:p>
      <w:pPr>
        <w:numPr>
          <w:ilvl w:val="0"/>
          <w:numId w:val="1003"/>
        </w:numPr>
        <w:pStyle w:val="Compact"/>
        <w:spacing w:after="60" w:line="240" w:lineRule="auto"/>
        <w:jc w:val="left"/>
      </w:pPr>
      <w:r>
        <w:rPr>
          <w:rFonts w:ascii="Calibri" w:hAnsi="Calibri"/>
          <w:color w:val="1E1E1E"/>
          <w:sz w:val="19"/>
        </w:rPr>
        <w:t xml:space="preserve">Childress, M.; Aldering, G.; Antilogus, P.; et al. Host galaxy properties and Hubble residuals of Type Ia supernovae from the Nearby Supernova Factory.</w:t>
      </w:r>
      <w:r>
        <w:rPr>
          <w:rFonts w:ascii="Calibri" w:hAnsi="Calibri"/>
          <w:color w:val="1E1E1E"/>
          <w:sz w:val="19"/>
        </w:rPr>
        <w:t xml:space="preserve"> </w:t>
      </w:r>
      <w:r>
        <w:rPr>
          <w:iCs/>
          <w:rFonts w:ascii="Calibri" w:hAnsi="Calibri"/>
          <w:i/>
          <w:color w:val="1E1E1E"/>
          <w:sz w:val="19"/>
        </w:rPr>
        <w:t xml:space="preserve">Astrophys. J.</w:t>
      </w:r>
      <w:r>
        <w:rPr>
          <w:rFonts w:ascii="Calibri" w:hAnsi="Calibri"/>
          <w:color w:val="1E1E1E"/>
          <w:sz w:val="19"/>
        </w:rPr>
        <w:t xml:space="preserve"> </w:t>
      </w:r>
      <w:r>
        <w:rPr>
          <w:bCs/>
          <w:rFonts w:ascii="Calibri" w:hAnsi="Calibri"/>
          <w:b/>
          <w:color w:val="1E1E1E"/>
          <w:sz w:val="19"/>
        </w:rPr>
        <w:t xml:space="preserve">2013</w:t>
      </w:r>
      <w:r>
        <w:rPr>
          <w:rFonts w:ascii="Calibri" w:hAnsi="Calibri"/>
          <w:color w:val="1E1E1E"/>
          <w:sz w:val="19"/>
        </w:rPr>
        <w:t xml:space="preserve">,</w:t>
      </w:r>
      <w:r>
        <w:rPr>
          <w:rFonts w:ascii="Calibri" w:hAnsi="Calibri"/>
          <w:color w:val="1E1E1E"/>
          <w:sz w:val="19"/>
        </w:rPr>
        <w:t xml:space="preserve"> </w:t>
      </w:r>
      <w:r>
        <w:rPr>
          <w:iCs/>
          <w:rFonts w:ascii="Calibri" w:hAnsi="Calibri"/>
          <w:i/>
          <w:color w:val="1E1E1E"/>
          <w:sz w:val="19"/>
        </w:rPr>
        <w:t xml:space="preserve">770</w:t>
      </w:r>
      <w:r>
        <w:rPr>
          <w:rFonts w:ascii="Calibri" w:hAnsi="Calibri"/>
          <w:color w:val="1E1E1E"/>
          <w:sz w:val="19"/>
        </w:rPr>
        <w:t xml:space="preserve">, 108. https://doi.org/10.1088/0004-637X/770/2/108.</w:t>
      </w:r>
    </w:p>
    <w:p>
      <w:pPr>
        <w:numPr>
          <w:ilvl w:val="0"/>
          <w:numId w:val="1003"/>
        </w:numPr>
        <w:pStyle w:val="Compact"/>
        <w:spacing w:after="60" w:line="240" w:lineRule="auto"/>
        <w:jc w:val="left"/>
      </w:pPr>
      <w:r>
        <w:rPr>
          <w:rFonts w:ascii="Calibri" w:hAnsi="Calibri"/>
          <w:color w:val="1E1E1E"/>
          <w:sz w:val="19"/>
        </w:rPr>
        <w:t xml:space="preserve">MacKinnon, J.G.; White, H. Some heteroskedasticity-consistent covariance matrix estimators with improved finite sample properties.</w:t>
      </w:r>
      <w:r>
        <w:rPr>
          <w:rFonts w:ascii="Calibri" w:hAnsi="Calibri"/>
          <w:color w:val="1E1E1E"/>
          <w:sz w:val="19"/>
        </w:rPr>
        <w:t xml:space="preserve"> </w:t>
      </w:r>
      <w:r>
        <w:rPr>
          <w:iCs/>
          <w:rFonts w:ascii="Calibri" w:hAnsi="Calibri"/>
          <w:i/>
          <w:color w:val="1E1E1E"/>
          <w:sz w:val="19"/>
        </w:rPr>
        <w:t xml:space="preserve">J. Econometrics</w:t>
      </w:r>
      <w:r>
        <w:rPr>
          <w:rFonts w:ascii="Calibri" w:hAnsi="Calibri"/>
          <w:color w:val="1E1E1E"/>
          <w:sz w:val="19"/>
        </w:rPr>
        <w:t xml:space="preserve"> </w:t>
      </w:r>
      <w:r>
        <w:rPr>
          <w:bCs/>
          <w:rFonts w:ascii="Calibri" w:hAnsi="Calibri"/>
          <w:b/>
          <w:color w:val="1E1E1E"/>
          <w:sz w:val="19"/>
        </w:rPr>
        <w:t xml:space="preserve">1985</w:t>
      </w:r>
      <w:r>
        <w:rPr>
          <w:rFonts w:ascii="Calibri" w:hAnsi="Calibri"/>
          <w:color w:val="1E1E1E"/>
          <w:sz w:val="19"/>
        </w:rPr>
        <w:t xml:space="preserve">,</w:t>
      </w:r>
      <w:r>
        <w:rPr>
          <w:rFonts w:ascii="Calibri" w:hAnsi="Calibri"/>
          <w:color w:val="1E1E1E"/>
          <w:sz w:val="19"/>
        </w:rPr>
        <w:t xml:space="preserve"> </w:t>
      </w:r>
      <w:r>
        <w:rPr>
          <w:iCs/>
          <w:rFonts w:ascii="Calibri" w:hAnsi="Calibri"/>
          <w:i/>
          <w:color w:val="1E1E1E"/>
          <w:sz w:val="19"/>
        </w:rPr>
        <w:t xml:space="preserve">29</w:t>
      </w:r>
      <w:r>
        <w:rPr>
          <w:rFonts w:ascii="Calibri" w:hAnsi="Calibri"/>
          <w:color w:val="1E1E1E"/>
          <w:sz w:val="19"/>
        </w:rPr>
        <w:t xml:space="preserve">, 305-325. https://doi.org/10.1016/0304-4076(85)90158-7.</w:t>
      </w:r>
    </w:p>
    <w:p>
      <w:pPr>
        <w:numPr>
          <w:ilvl w:val="0"/>
          <w:numId w:val="1003"/>
        </w:numPr>
        <w:pStyle w:val="Compact"/>
        <w:spacing w:after="60" w:line="240" w:lineRule="auto"/>
        <w:jc w:val="left"/>
      </w:pPr>
      <w:r>
        <w:rPr>
          <w:rFonts w:ascii="Calibri" w:hAnsi="Calibri"/>
          <w:color w:val="1E1E1E"/>
          <w:sz w:val="19"/>
        </w:rPr>
        <w:t xml:space="preserve">Meldorf, C.; Palmese, A.; Brout, D.; et al. The Dark Energy Survey Supernova Program results: Type Ia supernova brightness correlates with host galaxy dust.</w:t>
      </w:r>
      <w:r>
        <w:rPr>
          <w:rFonts w:ascii="Calibri" w:hAnsi="Calibri"/>
          <w:color w:val="1E1E1E"/>
          <w:sz w:val="19"/>
        </w:rPr>
        <w:t xml:space="preserve"> </w:t>
      </w:r>
      <w:r>
        <w:rPr>
          <w:iCs/>
          <w:rFonts w:ascii="Calibri" w:hAnsi="Calibri"/>
          <w:i/>
          <w:color w:val="1E1E1E"/>
          <w:sz w:val="19"/>
        </w:rPr>
        <w:t xml:space="preserve">Mon. Not. R. Astron. Soc.</w:t>
      </w:r>
      <w:r>
        <w:rPr>
          <w:rFonts w:ascii="Calibri" w:hAnsi="Calibri"/>
          <w:color w:val="1E1E1E"/>
          <w:sz w:val="19"/>
        </w:rPr>
        <w:t xml:space="preserve"> </w:t>
      </w:r>
      <w:r>
        <w:rPr>
          <w:bCs/>
          <w:rFonts w:ascii="Calibri" w:hAnsi="Calibri"/>
          <w:b/>
          <w:color w:val="1E1E1E"/>
          <w:sz w:val="19"/>
        </w:rPr>
        <w:t xml:space="preserve">2023</w:t>
      </w:r>
      <w:r>
        <w:rPr>
          <w:rFonts w:ascii="Calibri" w:hAnsi="Calibri"/>
          <w:color w:val="1E1E1E"/>
          <w:sz w:val="19"/>
        </w:rPr>
        <w:t xml:space="preserve">,</w:t>
      </w:r>
      <w:r>
        <w:rPr>
          <w:rFonts w:ascii="Calibri" w:hAnsi="Calibri"/>
          <w:color w:val="1E1E1E"/>
          <w:sz w:val="19"/>
        </w:rPr>
        <w:t xml:space="preserve"> </w:t>
      </w:r>
      <w:r>
        <w:rPr>
          <w:iCs/>
          <w:rFonts w:ascii="Calibri" w:hAnsi="Calibri"/>
          <w:i/>
          <w:color w:val="1E1E1E"/>
          <w:sz w:val="19"/>
        </w:rPr>
        <w:t xml:space="preserve">518</w:t>
      </w:r>
      <w:r>
        <w:rPr>
          <w:rFonts w:ascii="Calibri" w:hAnsi="Calibri"/>
          <w:color w:val="1E1E1E"/>
          <w:sz w:val="19"/>
        </w:rPr>
        <w:t xml:space="preserve">, 1985-2004. https://doi.org/10.1093/mnras/stac3056.</w:t>
      </w:r>
    </w:p>
    <w:p>
      <w:pPr>
        <w:numPr>
          <w:ilvl w:val="0"/>
          <w:numId w:val="1003"/>
        </w:numPr>
        <w:pStyle w:val="Compact"/>
        <w:spacing w:after="60" w:line="240" w:lineRule="auto"/>
        <w:jc w:val="left"/>
      </w:pPr>
      <w:r>
        <w:rPr>
          <w:rFonts w:ascii="Calibri" w:hAnsi="Calibri"/>
          <w:color w:val="1E1E1E"/>
          <w:sz w:val="19"/>
        </w:rPr>
        <w:t xml:space="preserve">Wang, P.Y. A Möbius-Scale Spinor Lift of Lorentz Kinematics: The Contained-Volume Law for Four-Momentum. Preprint, 2026.</w:t>
      </w:r>
    </w:p>
    <w:p>
      <w:pPr>
        <w:numPr>
          <w:ilvl w:val="0"/>
          <w:numId w:val="1003"/>
        </w:numPr>
        <w:pStyle w:val="Compact"/>
        <w:spacing w:after="60" w:line="240" w:lineRule="auto"/>
        <w:jc w:val="left"/>
      </w:pPr>
      <w:r>
        <w:rPr>
          <w:rFonts w:ascii="Calibri" w:hAnsi="Calibri"/>
          <w:color w:val="1E1E1E"/>
          <w:sz w:val="19"/>
        </w:rPr>
        <w:t xml:space="preserve">Agazie, G.; et al. The NANOGrav 15-year Data Set: Observations and Timing of 68 Millisecond Pulsars.</w:t>
      </w:r>
      <w:r>
        <w:rPr>
          <w:rFonts w:ascii="Calibri" w:hAnsi="Calibri"/>
          <w:color w:val="1E1E1E"/>
          <w:sz w:val="19"/>
        </w:rPr>
        <w:t xml:space="preserve"> </w:t>
      </w:r>
      <w:r>
        <w:rPr>
          <w:iCs/>
          <w:rFonts w:ascii="Calibri" w:hAnsi="Calibri"/>
          <w:i/>
          <w:color w:val="1E1E1E"/>
          <w:sz w:val="19"/>
        </w:rPr>
        <w:t xml:space="preserve">Astrophys. J. Lett.</w:t>
      </w:r>
      <w:r>
        <w:rPr>
          <w:rFonts w:ascii="Calibri" w:hAnsi="Calibri"/>
          <w:color w:val="1E1E1E"/>
          <w:sz w:val="19"/>
        </w:rPr>
        <w:t xml:space="preserve"> </w:t>
      </w:r>
      <w:r>
        <w:rPr>
          <w:bCs/>
          <w:rFonts w:ascii="Calibri" w:hAnsi="Calibri"/>
          <w:b/>
          <w:color w:val="1E1E1E"/>
          <w:sz w:val="19"/>
        </w:rPr>
        <w:t xml:space="preserve">2023</w:t>
      </w:r>
      <w:r>
        <w:rPr>
          <w:rFonts w:ascii="Calibri" w:hAnsi="Calibri"/>
          <w:color w:val="1E1E1E"/>
          <w:sz w:val="19"/>
        </w:rPr>
        <w:t xml:space="preserve">,</w:t>
      </w:r>
      <w:r>
        <w:rPr>
          <w:rFonts w:ascii="Calibri" w:hAnsi="Calibri"/>
          <w:color w:val="1E1E1E"/>
          <w:sz w:val="19"/>
        </w:rPr>
        <w:t xml:space="preserve"> </w:t>
      </w:r>
      <w:r>
        <w:rPr>
          <w:iCs/>
          <w:rFonts w:ascii="Calibri" w:hAnsi="Calibri"/>
          <w:i/>
          <w:color w:val="1E1E1E"/>
          <w:sz w:val="19"/>
        </w:rPr>
        <w:t xml:space="preserve">951</w:t>
      </w:r>
      <w:r>
        <w:rPr>
          <w:rFonts w:ascii="Calibri" w:hAnsi="Calibri"/>
          <w:color w:val="1E1E1E"/>
          <w:sz w:val="19"/>
        </w:rPr>
        <w:t xml:space="preserve">, L9. https://doi.org/10.3847/2041-8213/acda9a.</w:t>
      </w:r>
    </w:p>
    <w:p>
      <w:pPr>
        <w:numPr>
          <w:ilvl w:val="0"/>
          <w:numId w:val="1003"/>
        </w:numPr>
        <w:pStyle w:val="Compact"/>
        <w:spacing w:after="60" w:line="240" w:lineRule="auto"/>
        <w:jc w:val="left"/>
      </w:pPr>
      <w:r>
        <w:rPr>
          <w:rFonts w:ascii="Calibri" w:hAnsi="Calibri"/>
          <w:color w:val="1E1E1E"/>
          <w:sz w:val="19"/>
        </w:rPr>
        <w:t xml:space="preserve">Alves, M.E.S.; Tinto, M. Pulsar timing sensitivities to gravitational waves from relativistic metric theories of gravity.</w:t>
      </w:r>
      <w:r>
        <w:rPr>
          <w:rFonts w:ascii="Calibri" w:hAnsi="Calibri"/>
          <w:color w:val="1E1E1E"/>
          <w:sz w:val="19"/>
        </w:rPr>
        <w:t xml:space="preserve"> </w:t>
      </w:r>
      <w:r>
        <w:rPr>
          <w:iCs/>
          <w:rFonts w:ascii="Calibri" w:hAnsi="Calibri"/>
          <w:i/>
          <w:color w:val="1E1E1E"/>
          <w:sz w:val="19"/>
        </w:rPr>
        <w:t xml:space="preserve">Phys. Rev. D</w:t>
      </w:r>
      <w:r>
        <w:rPr>
          <w:rFonts w:ascii="Calibri" w:hAnsi="Calibri"/>
          <w:color w:val="1E1E1E"/>
          <w:sz w:val="19"/>
        </w:rPr>
        <w:t xml:space="preserve"> </w:t>
      </w:r>
      <w:r>
        <w:rPr>
          <w:bCs/>
          <w:rFonts w:ascii="Calibri" w:hAnsi="Calibri"/>
          <w:b/>
          <w:color w:val="1E1E1E"/>
          <w:sz w:val="19"/>
        </w:rPr>
        <w:t xml:space="preserve">2011</w:t>
      </w:r>
      <w:r>
        <w:rPr>
          <w:rFonts w:ascii="Calibri" w:hAnsi="Calibri"/>
          <w:color w:val="1E1E1E"/>
          <w:sz w:val="19"/>
        </w:rPr>
        <w:t xml:space="preserve">,</w:t>
      </w:r>
      <w:r>
        <w:rPr>
          <w:rFonts w:ascii="Calibri" w:hAnsi="Calibri"/>
          <w:color w:val="1E1E1E"/>
          <w:sz w:val="19"/>
        </w:rPr>
        <w:t xml:space="preserve"> </w:t>
      </w:r>
      <w:r>
        <w:rPr>
          <w:iCs/>
          <w:rFonts w:ascii="Calibri" w:hAnsi="Calibri"/>
          <w:i/>
          <w:color w:val="1E1E1E"/>
          <w:sz w:val="19"/>
        </w:rPr>
        <w:t xml:space="preserve">83</w:t>
      </w:r>
      <w:r>
        <w:rPr>
          <w:rFonts w:ascii="Calibri" w:hAnsi="Calibri"/>
          <w:color w:val="1E1E1E"/>
          <w:sz w:val="19"/>
        </w:rPr>
        <w:t xml:space="preserve">, 123529. https://doi.org/10.1103/PhysRevD.83.123529.</w:t>
      </w:r>
    </w:p>
    <w:bookmarkEnd w:id="42"/>
    <w:sectPr>
      <w:headerReference r:id="rId9" w:type="default"/>
      <w:footerReference r:id="rId10" w:type="default"/>
      <w:headerReference w:type="first" r:id="rId11"/>
      <w:footerReference w:type="first" r:id="rId12"/>
      <w:pgSz w:h="15840" w:w="12240"/>
      <w:pgMar w:bottom="1440" w:footer="708" w:header="708" w:left="1440" w:right="1440" w:top="144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068"/>
        <w:sz w:val="17"/>
      </w:rPr>
      <w:t xml:space="preserve">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hyperlink r:id="rId1">
      <w:r>
        <w:rPr>
          <w:color w:val="2E74B5"/>
          <w:u w:val="single"/>
          <w:sz w:val="16"/>
        </w:rPr>
        <w:t>https://github.com/peterwa88/space_kapa_calculation/tree/main/CF3_Luminosity_Local_Expansion_Correlation_test</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A6068"/>
        <w:sz w:val="17"/>
      </w:rPr>
      <w:t>RESEARCH ARTICLE  |  CF3 LUMINOSITY CORRELATION TEST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20" w:before="0" w:line="300" w:lineRule="auto"/>
      <w:jc w:val="both"/>
    </w:pPr>
    <w:rPr>
      <w:rFonts w:ascii="Calibri" w:hAnsi="Calibri"/>
      <w:color w:val="1E1E1E"/>
      <w:sz w:val="22"/>
    </w:rPr>
  </w:style>
  <w:style w:styleId="BodyText" w:type="paragraph">
    <w:name w:val="Body Text"/>
    <w:basedOn w:val="Normal"/>
    <w:link w:val="BodyTextChar"/>
    <w:pPr>
      <w:widowControl/>
      <w:spacing w:after="120" w:before="0" w:line="300" w:lineRule="auto"/>
      <w:jc w:val="both"/>
    </w:pPr>
    <w:qFormat/>
    <w:rPr>
      <w:rFonts w:ascii="Calibri" w:hAnsi="Calibri"/>
      <w:color w:val="1E1E1E"/>
      <w:sz w:val="22"/>
    </w:rPr>
  </w:style>
  <w:style w:customStyle="1" w:styleId="FirstParagraph" w:type="paragraph">
    <w:name w:val="First Paragraph"/>
    <w:basedOn w:val="BodyText"/>
    <w:next w:val="BodyText"/>
    <w:qFormat/>
    <w:pPr>
      <w:widowControl/>
      <w:spacing w:after="120" w:before="0" w:line="300" w:lineRule="auto"/>
      <w:jc w:val="both"/>
    </w:pPr>
    <w:rPr>
      <w:rFonts w:ascii="Calibri" w:hAnsi="Calibri"/>
      <w:color w:val="1E1E1E"/>
      <w:sz w:val="22"/>
    </w:rPr>
  </w:style>
  <w:style w:customStyle="1" w:styleId="Compact" w:type="paragraph">
    <w:name w:val="Compact"/>
    <w:basedOn w:val="BodyText"/>
    <w:qFormat/>
    <w:pPr>
      <w:spacing w:after="80" w:before="0" w:line="290" w:lineRule="auto"/>
      <w:ind w:hanging="279" w:left="540"/>
    </w:pPr>
    <w:rPr>
      <w:rFonts w:ascii="Calibri" w:hAnsi="Calibri"/>
      <w:color w:val="1E1E1E"/>
      <w:sz w:val="21"/>
    </w:rPr>
  </w:style>
  <w:style w:styleId="Title" w:type="paragraph">
    <w:name w:val="Title"/>
    <w:basedOn w:val="Normal"/>
    <w:next w:val="BodyText"/>
    <w:qFormat/>
    <w:pPr>
      <w:keepNext/>
      <w:keepLines/>
      <w:spacing w:after="280" w:before="160"/>
      <w:jc w:val="center"/>
    </w:pPr>
    <w:rPr>
      <w:rFonts w:ascii="Calibri" w:asciiTheme="majorHAnsi" w:cstheme="majorBidi" w:eastAsiaTheme="majorEastAsia" w:hAnsi="Calibri" w:hAnsiTheme="majorHAnsi"/>
      <w:b/>
      <w:bCs/>
      <w:color w:val="1F4D78"/>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200" w:before="360"/>
      <w:outlineLvl w:val="0"/>
    </w:pPr>
    <w:rPr>
      <w:rFonts w:ascii="Calibri" w:asciiTheme="majorHAnsi" w:cstheme="majorBidi" w:eastAsiaTheme="majorEastAsia" w:hAnsi="Calibri" w:hAnsiTheme="majorHAnsi"/>
      <w:b/>
      <w:bCs/>
      <w:color w:val="2E74B5"/>
      <w:sz w:val="32"/>
      <w:szCs w:val="32"/>
    </w:rPr>
  </w:style>
  <w:style w:styleId="Heading2" w:type="paragraph">
    <w:name w:val="Heading 2"/>
    <w:basedOn w:val="Normal"/>
    <w:next w:val="BodyText"/>
    <w:uiPriority w:val="9"/>
    <w:unhideWhenUsed/>
    <w:qFormat/>
    <w:pPr>
      <w:keepNext/>
      <w:keepLines/>
      <w:spacing w:after="120" w:before="240"/>
      <w:outlineLvl w:val="1"/>
    </w:pPr>
    <w:rPr>
      <w:rFonts w:ascii="Calibri" w:asciiTheme="majorHAnsi" w:cstheme="majorBidi" w:eastAsiaTheme="majorEastAsia" w:hAnsi="Calibri" w:hAnsiTheme="majorHAnsi"/>
      <w:b/>
      <w:bCs/>
      <w:color w:val="2E74B5"/>
      <w:sz w:val="26"/>
      <w:szCs w:val="28"/>
    </w:rPr>
  </w:style>
  <w:style w:styleId="Heading3" w:type="paragraph">
    <w:name w:val="Heading 3"/>
    <w:basedOn w:val="Normal"/>
    <w:next w:val="BodyText"/>
    <w:uiPriority w:val="9"/>
    <w:unhideWhenUsed/>
    <w:qFormat/>
    <w:pPr>
      <w:keepNext/>
      <w:keepLines/>
      <w:spacing w:after="80" w:before="160"/>
      <w:outlineLvl w:val="2"/>
    </w:pPr>
    <w:rPr>
      <w:rFonts w:ascii="Calibri" w:asciiTheme="majorHAnsi" w:cstheme="majorBidi" w:eastAsiaTheme="majorEastAsia" w:hAnsi="Calibri" w:hAnsiTheme="majorHAnsi"/>
      <w:b/>
      <w:bCs/>
      <w:color w:val="1F4D78"/>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Lines/>
      <w:spacing w:after="160" w:before="60" w:line="240" w:lineRule="auto"/>
      <w:jc w:val="center"/>
    </w:pPr>
    <w:rPr>
      <w:rFonts w:ascii="Calibri" w:hAnsi="Calibri"/>
      <w:i/>
      <w:color w:val="5A6068"/>
      <w:sz w:val="18"/>
    </w:rPr>
  </w:style>
  <w:style w:customStyle="1" w:styleId="TableCaption" w:type="paragraph">
    <w:name w:val="Table Caption"/>
    <w:basedOn w:val="Caption"/>
    <w:pPr>
      <w:keepNext/>
    </w:pPr>
  </w:style>
  <w:style w:customStyle="1" w:styleId="ImageCaption" w:type="paragraph">
    <w:name w:val="Image Caption"/>
    <w:basedOn w:val="Caption"/>
    <w:pPr>
      <w:keepLines/>
      <w:spacing w:after="160" w:before="60" w:line="240" w:lineRule="auto"/>
      <w:jc w:val="center"/>
    </w:pPr>
    <w:rPr>
      <w:rFonts w:ascii="Calibri" w:hAnsi="Calibri"/>
      <w:i/>
      <w:color w:val="5A6068"/>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9" Type="http://schemas.openxmlformats.org/officeDocument/2006/relationships/image" Target="media/rId29.png"/><Relationship Id="rId11" Type="http://schemas.openxmlformats.org/officeDocument/2006/relationships/header" Target="header2.xml"/><Relationship Id="rId12"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https://github.com/peterwa88/space_kapa_calculation/tree/main/CF3_Luminosity_Local_Expansion_Correlation_t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Exploratory Correlation Test of Luminosity and a Local-Expansion Proxy in Cosmicflows-3 Galaxy Groups</dc:title>
  <dc:creator>Peter Yongtao Wang</dc:creator>
  <cp:keywords>Cosmicflows-3; galaxy groups; luminosity; redshift; local-expansion proxy; correlation</cp:keywords>
  <dcterms:created xsi:type="dcterms:W3CDTF">2026-08-19T16:57:05Z</dcterms:created>
  <dcterms:modified xsi:type="dcterms:W3CDTF">2026-08-19T16:57:05Z</dcterms:modified>
  <dc:subject>Exploratory correlation test using Cosmicflows-3 galaxy groups</dc:subject>
</cp:coreProperties>
</file>

<file path=docProps/custom.xml><?xml version="1.0" encoding="utf-8"?>
<Properties xmlns="http://schemas.openxmlformats.org/officeDocument/2006/custom-properties" xmlns:vt="http://schemas.openxmlformats.org/officeDocument/2006/docPropsVTypes"/>
</file>